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9DD6" w14:textId="77777777" w:rsidR="00122402" w:rsidRPr="006C6A28" w:rsidRDefault="00A2098D" w:rsidP="0040344E">
      <w:pPr>
        <w:spacing w:after="120" w:line="360" w:lineRule="auto"/>
        <w:jc w:val="both"/>
        <w:rPr>
          <w:rFonts w:ascii="Times New Roman" w:eastAsia="Calibri" w:hAnsi="Times New Roman" w:cs="Times New Roman"/>
          <w:b/>
          <w:sz w:val="28"/>
          <w:szCs w:val="28"/>
        </w:rPr>
      </w:pPr>
      <w:r w:rsidRPr="006C6A28">
        <w:rPr>
          <w:rFonts w:ascii="Times New Roman" w:eastAsia="Calibri" w:hAnsi="Times New Roman" w:cs="Times New Roman"/>
          <w:b/>
          <w:sz w:val="28"/>
          <w:szCs w:val="28"/>
        </w:rPr>
        <w:t xml:space="preserve">Efecto </w:t>
      </w:r>
      <w:r w:rsidR="00595840" w:rsidRPr="006C6A28">
        <w:rPr>
          <w:rFonts w:ascii="Times New Roman" w:eastAsia="Calibri" w:hAnsi="Times New Roman" w:cs="Times New Roman"/>
          <w:b/>
          <w:sz w:val="28"/>
          <w:szCs w:val="28"/>
        </w:rPr>
        <w:t>del QuitoMax</w:t>
      </w:r>
      <w:r w:rsidRPr="006C6A28">
        <w:rPr>
          <w:rFonts w:ascii="Times New Roman" w:eastAsia="Calibri" w:hAnsi="Times New Roman" w:cs="Times New Roman"/>
          <w:b/>
          <w:sz w:val="28"/>
          <w:szCs w:val="28"/>
        </w:rPr>
        <w:t xml:space="preserve">® y el </w:t>
      </w:r>
      <w:r w:rsidR="003B126C" w:rsidRPr="006C6A28">
        <w:rPr>
          <w:rFonts w:ascii="Times New Roman" w:eastAsia="Calibri" w:hAnsi="Times New Roman" w:cs="Times New Roman"/>
          <w:b/>
          <w:sz w:val="28"/>
          <w:szCs w:val="28"/>
        </w:rPr>
        <w:t>Azofert-F</w:t>
      </w:r>
      <w:r w:rsidR="00AD5056" w:rsidRPr="006C6A28">
        <w:rPr>
          <w:rFonts w:ascii="Times New Roman" w:eastAsia="Calibri" w:hAnsi="Times New Roman" w:cs="Times New Roman"/>
          <w:b/>
          <w:sz w:val="28"/>
          <w:szCs w:val="28"/>
        </w:rPr>
        <w:t>®</w:t>
      </w:r>
      <w:r w:rsidRPr="006C6A28">
        <w:rPr>
          <w:rFonts w:ascii="Times New Roman" w:eastAsia="Calibri" w:hAnsi="Times New Roman" w:cs="Times New Roman"/>
          <w:b/>
          <w:sz w:val="28"/>
          <w:szCs w:val="28"/>
        </w:rPr>
        <w:t xml:space="preserve"> en el cultivo del </w:t>
      </w:r>
      <w:r w:rsidR="00595840" w:rsidRPr="006C6A28">
        <w:rPr>
          <w:rFonts w:ascii="Times New Roman" w:eastAsia="Calibri" w:hAnsi="Times New Roman" w:cs="Times New Roman"/>
          <w:b/>
          <w:sz w:val="28"/>
          <w:szCs w:val="28"/>
        </w:rPr>
        <w:t>frijol común</w:t>
      </w:r>
      <w:r w:rsidR="006D45E7" w:rsidRPr="006C6A28">
        <w:rPr>
          <w:rFonts w:ascii="Times New Roman" w:eastAsia="Calibri" w:hAnsi="Times New Roman" w:cs="Times New Roman"/>
          <w:b/>
          <w:sz w:val="28"/>
          <w:szCs w:val="28"/>
        </w:rPr>
        <w:t xml:space="preserve"> (</w:t>
      </w:r>
      <w:r w:rsidR="006D45E7" w:rsidRPr="006C6A28">
        <w:rPr>
          <w:rFonts w:ascii="Times New Roman" w:hAnsi="Times New Roman" w:cs="Times New Roman"/>
          <w:b/>
          <w:i/>
          <w:iCs/>
          <w:sz w:val="28"/>
          <w:szCs w:val="28"/>
          <w:lang w:val="es-ES_tradnl"/>
        </w:rPr>
        <w:t xml:space="preserve">Phaseolus </w:t>
      </w:r>
      <w:r w:rsidR="00C809B0" w:rsidRPr="006C6A28">
        <w:rPr>
          <w:rFonts w:ascii="Times New Roman" w:hAnsi="Times New Roman" w:cs="Times New Roman"/>
          <w:b/>
          <w:i/>
          <w:iCs/>
          <w:sz w:val="28"/>
          <w:szCs w:val="28"/>
          <w:lang w:val="es-ES_tradnl"/>
        </w:rPr>
        <w:t>v</w:t>
      </w:r>
      <w:r w:rsidR="006D45E7" w:rsidRPr="006C6A28">
        <w:rPr>
          <w:rFonts w:ascii="Times New Roman" w:hAnsi="Times New Roman" w:cs="Times New Roman"/>
          <w:b/>
          <w:i/>
          <w:iCs/>
          <w:sz w:val="28"/>
          <w:szCs w:val="28"/>
          <w:lang w:val="es-ES_tradnl"/>
        </w:rPr>
        <w:t xml:space="preserve">ulgaris </w:t>
      </w:r>
      <w:r w:rsidR="006D45E7" w:rsidRPr="006C6A28">
        <w:rPr>
          <w:rFonts w:ascii="Times New Roman" w:hAnsi="Times New Roman" w:cs="Times New Roman"/>
          <w:b/>
          <w:iCs/>
          <w:sz w:val="28"/>
          <w:szCs w:val="28"/>
          <w:lang w:val="es-ES_tradnl"/>
        </w:rPr>
        <w:t>L</w:t>
      </w:r>
      <w:r w:rsidR="006D45E7" w:rsidRPr="006C6A28">
        <w:rPr>
          <w:rFonts w:ascii="Times New Roman" w:hAnsi="Times New Roman" w:cs="Times New Roman"/>
          <w:b/>
          <w:sz w:val="28"/>
          <w:szCs w:val="28"/>
          <w:lang w:val="es-ES_tradnl"/>
        </w:rPr>
        <w:t>.),</w:t>
      </w:r>
      <w:r w:rsidR="00595840" w:rsidRPr="006C6A28">
        <w:rPr>
          <w:rFonts w:ascii="Times New Roman" w:eastAsia="Calibri" w:hAnsi="Times New Roman" w:cs="Times New Roman"/>
          <w:b/>
          <w:sz w:val="28"/>
          <w:szCs w:val="28"/>
        </w:rPr>
        <w:t xml:space="preserve">  variedad</w:t>
      </w:r>
      <w:r w:rsidR="00C809B0" w:rsidRPr="006C6A28">
        <w:rPr>
          <w:rFonts w:ascii="Times New Roman" w:eastAsia="Calibri" w:hAnsi="Times New Roman" w:cs="Times New Roman"/>
          <w:b/>
          <w:sz w:val="28"/>
          <w:szCs w:val="28"/>
        </w:rPr>
        <w:t xml:space="preserve"> </w:t>
      </w:r>
      <w:r w:rsidR="00B10CB2" w:rsidRPr="006C6A28">
        <w:rPr>
          <w:rFonts w:ascii="Times New Roman" w:eastAsia="Calibri" w:hAnsi="Times New Roman" w:cs="Times New Roman"/>
          <w:b/>
          <w:sz w:val="28"/>
          <w:szCs w:val="28"/>
        </w:rPr>
        <w:t>“</w:t>
      </w:r>
      <w:r w:rsidR="00595840" w:rsidRPr="006C6A28">
        <w:rPr>
          <w:rFonts w:ascii="Times New Roman" w:eastAsia="Calibri" w:hAnsi="Times New Roman" w:cs="Times New Roman"/>
          <w:b/>
          <w:sz w:val="28"/>
          <w:szCs w:val="28"/>
        </w:rPr>
        <w:t>Velazco largo</w:t>
      </w:r>
      <w:r w:rsidR="00B10CB2" w:rsidRPr="006C6A28">
        <w:rPr>
          <w:rFonts w:ascii="Times New Roman" w:eastAsia="Calibri" w:hAnsi="Times New Roman" w:cs="Times New Roman"/>
          <w:b/>
          <w:sz w:val="28"/>
          <w:szCs w:val="28"/>
        </w:rPr>
        <w:t>”</w:t>
      </w:r>
      <w:r w:rsidR="00595840" w:rsidRPr="006C6A28">
        <w:rPr>
          <w:rFonts w:ascii="Times New Roman" w:eastAsia="Calibri" w:hAnsi="Times New Roman" w:cs="Times New Roman"/>
          <w:b/>
          <w:sz w:val="28"/>
          <w:szCs w:val="28"/>
        </w:rPr>
        <w:t>.</w:t>
      </w:r>
    </w:p>
    <w:p w14:paraId="3EF2CF7E" w14:textId="77777777" w:rsidR="00C643D0" w:rsidRPr="006C6A28" w:rsidRDefault="00C643D0" w:rsidP="0040344E">
      <w:pPr>
        <w:spacing w:after="120" w:line="360" w:lineRule="auto"/>
        <w:jc w:val="both"/>
        <w:rPr>
          <w:rFonts w:ascii="Times New Roman" w:eastAsia="Calibri" w:hAnsi="Times New Roman" w:cs="Times New Roman"/>
          <w:b/>
          <w:sz w:val="24"/>
          <w:szCs w:val="24"/>
          <w:lang w:val="en-US"/>
        </w:rPr>
      </w:pPr>
      <w:r w:rsidRPr="006C6A28">
        <w:rPr>
          <w:rStyle w:val="rynqvb"/>
          <w:rFonts w:ascii="Times New Roman" w:hAnsi="Times New Roman" w:cs="Times New Roman"/>
          <w:b/>
          <w:sz w:val="24"/>
          <w:szCs w:val="24"/>
          <w:lang w:val="en-US"/>
        </w:rPr>
        <w:t>Effect of QuitoMax® and Azofert-F</w:t>
      </w:r>
      <w:r w:rsidR="00AD5056" w:rsidRPr="006C6A28">
        <w:rPr>
          <w:rFonts w:ascii="Times New Roman" w:eastAsia="Calibri" w:hAnsi="Times New Roman" w:cs="Times New Roman"/>
          <w:b/>
          <w:sz w:val="24"/>
          <w:szCs w:val="24"/>
          <w:lang w:val="en-US"/>
        </w:rPr>
        <w:t>®</w:t>
      </w:r>
      <w:r w:rsidRPr="006C6A28">
        <w:rPr>
          <w:rStyle w:val="rynqvb"/>
          <w:rFonts w:ascii="Times New Roman" w:hAnsi="Times New Roman" w:cs="Times New Roman"/>
          <w:b/>
          <w:sz w:val="24"/>
          <w:szCs w:val="24"/>
          <w:lang w:val="en-US"/>
        </w:rPr>
        <w:t xml:space="preserve"> on the cultivation of the common bean (</w:t>
      </w:r>
      <w:r w:rsidR="00C809B0" w:rsidRPr="006C6A28">
        <w:rPr>
          <w:rStyle w:val="rynqvb"/>
          <w:rFonts w:ascii="Times New Roman" w:hAnsi="Times New Roman" w:cs="Times New Roman"/>
          <w:b/>
          <w:i/>
          <w:sz w:val="24"/>
          <w:szCs w:val="24"/>
          <w:lang w:val="en-US"/>
        </w:rPr>
        <w:t>Phaseolus v</w:t>
      </w:r>
      <w:r w:rsidRPr="006C6A28">
        <w:rPr>
          <w:rStyle w:val="rynqvb"/>
          <w:rFonts w:ascii="Times New Roman" w:hAnsi="Times New Roman" w:cs="Times New Roman"/>
          <w:b/>
          <w:i/>
          <w:sz w:val="24"/>
          <w:szCs w:val="24"/>
          <w:lang w:val="en-US"/>
        </w:rPr>
        <w:t>ulgaris</w:t>
      </w:r>
      <w:r w:rsidRPr="006C6A28">
        <w:rPr>
          <w:rStyle w:val="rynqvb"/>
          <w:rFonts w:ascii="Times New Roman" w:hAnsi="Times New Roman" w:cs="Times New Roman"/>
          <w:b/>
          <w:sz w:val="24"/>
          <w:szCs w:val="24"/>
          <w:lang w:val="en-US"/>
        </w:rPr>
        <w:t xml:space="preserve"> L.), variety “Velazco largo”.</w:t>
      </w:r>
    </w:p>
    <w:p w14:paraId="040EE9D2" w14:textId="77777777" w:rsidR="00677E51" w:rsidRPr="006C6A28" w:rsidRDefault="00A2098D" w:rsidP="0040344E">
      <w:pPr>
        <w:spacing w:after="0" w:line="360" w:lineRule="auto"/>
        <w:jc w:val="both"/>
        <w:rPr>
          <w:rFonts w:ascii="Times New Roman" w:eastAsia="Calibri" w:hAnsi="Times New Roman" w:cs="Times New Roman"/>
          <w:sz w:val="24"/>
          <w:szCs w:val="24"/>
          <w:vertAlign w:val="superscript"/>
        </w:rPr>
      </w:pPr>
      <w:r w:rsidRPr="006C6A28">
        <w:rPr>
          <w:rFonts w:ascii="Times New Roman" w:eastAsia="Calibri" w:hAnsi="Times New Roman" w:cs="Times New Roman"/>
          <w:sz w:val="24"/>
          <w:szCs w:val="24"/>
        </w:rPr>
        <w:t>Mario de Jesús Alarcón-Mok</w:t>
      </w:r>
      <w:r w:rsidR="002D3A41" w:rsidRPr="006C6A28">
        <w:rPr>
          <w:rFonts w:ascii="Times New Roman" w:eastAsia="Calibri" w:hAnsi="Times New Roman" w:cs="Times New Roman"/>
          <w:sz w:val="24"/>
          <w:szCs w:val="24"/>
          <w:vertAlign w:val="superscript"/>
        </w:rPr>
        <w:t>(</w:t>
      </w:r>
      <w:r w:rsidR="00D543BD" w:rsidRPr="006C6A28">
        <w:rPr>
          <w:rFonts w:ascii="Times New Roman" w:eastAsia="Calibri" w:hAnsi="Times New Roman" w:cs="Times New Roman"/>
          <w:sz w:val="24"/>
          <w:szCs w:val="24"/>
          <w:vertAlign w:val="superscript"/>
        </w:rPr>
        <w:t>1</w:t>
      </w:r>
      <w:r w:rsidR="002D3A41" w:rsidRPr="006C6A28">
        <w:rPr>
          <w:rFonts w:ascii="Times New Roman" w:eastAsia="Calibri" w:hAnsi="Times New Roman" w:cs="Times New Roman"/>
          <w:sz w:val="24"/>
          <w:szCs w:val="24"/>
          <w:vertAlign w:val="superscript"/>
        </w:rPr>
        <w:t xml:space="preserve">) </w:t>
      </w:r>
    </w:p>
    <w:p w14:paraId="4B2CD6FC" w14:textId="77777777" w:rsidR="007059FC" w:rsidRPr="006C6A28" w:rsidRDefault="009C3417" w:rsidP="0040344E">
      <w:pPr>
        <w:spacing w:after="0" w:line="360" w:lineRule="auto"/>
        <w:jc w:val="both"/>
        <w:rPr>
          <w:rFonts w:ascii="Times New Roman" w:eastAsia="Calibri" w:hAnsi="Times New Roman" w:cs="Times New Roman"/>
          <w:sz w:val="24"/>
          <w:szCs w:val="24"/>
          <w:vertAlign w:val="superscript"/>
        </w:rPr>
      </w:pPr>
      <w:r w:rsidRPr="006C6A28">
        <w:rPr>
          <w:rFonts w:ascii="Times New Roman" w:eastAsia="Calibri" w:hAnsi="Times New Roman" w:cs="Times New Roman"/>
          <w:sz w:val="24"/>
          <w:szCs w:val="24"/>
        </w:rPr>
        <w:t>Denice Ardoche Vilar</w:t>
      </w:r>
      <w:r w:rsidR="008A7470" w:rsidRPr="006C6A28">
        <w:rPr>
          <w:rFonts w:ascii="Times New Roman" w:eastAsia="Calibri" w:hAnsi="Times New Roman" w:cs="Times New Roman"/>
          <w:sz w:val="24"/>
          <w:szCs w:val="24"/>
          <w:vertAlign w:val="superscript"/>
        </w:rPr>
        <w:t>(</w:t>
      </w:r>
      <w:r w:rsidRPr="006C6A28">
        <w:rPr>
          <w:rFonts w:ascii="Times New Roman" w:eastAsia="Calibri" w:hAnsi="Times New Roman" w:cs="Times New Roman"/>
          <w:sz w:val="24"/>
          <w:szCs w:val="24"/>
          <w:vertAlign w:val="superscript"/>
        </w:rPr>
        <w:t>2</w:t>
      </w:r>
      <w:r w:rsidR="008A7470" w:rsidRPr="006C6A28">
        <w:rPr>
          <w:rFonts w:ascii="Times New Roman" w:eastAsia="Calibri" w:hAnsi="Times New Roman" w:cs="Times New Roman"/>
          <w:sz w:val="24"/>
          <w:szCs w:val="24"/>
          <w:vertAlign w:val="superscript"/>
        </w:rPr>
        <w:t>)</w:t>
      </w:r>
      <w:r w:rsidRPr="006C6A28">
        <w:rPr>
          <w:rFonts w:ascii="Times New Roman" w:eastAsia="Calibri" w:hAnsi="Times New Roman" w:cs="Times New Roman"/>
          <w:sz w:val="24"/>
          <w:szCs w:val="24"/>
          <w:vertAlign w:val="superscript"/>
        </w:rPr>
        <w:t>.</w:t>
      </w:r>
    </w:p>
    <w:p w14:paraId="12405625" w14:textId="3F4278A8" w:rsidR="007A7521" w:rsidRPr="006C6A28" w:rsidRDefault="009E0FB4" w:rsidP="0040344E">
      <w:pPr>
        <w:spacing w:after="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Roxana García </w:t>
      </w:r>
      <w:r w:rsidR="00697C12" w:rsidRPr="006C6A28">
        <w:rPr>
          <w:rFonts w:ascii="Times New Roman" w:eastAsia="Calibri" w:hAnsi="Times New Roman" w:cs="Times New Roman"/>
          <w:sz w:val="24"/>
          <w:szCs w:val="24"/>
        </w:rPr>
        <w:t>Álvarez</w:t>
      </w:r>
      <w:r w:rsidR="00697C12" w:rsidRPr="006C6A28">
        <w:rPr>
          <w:rFonts w:ascii="Times New Roman" w:eastAsia="Calibri" w:hAnsi="Times New Roman" w:cs="Times New Roman"/>
          <w:sz w:val="24"/>
          <w:szCs w:val="24"/>
          <w:vertAlign w:val="superscript"/>
        </w:rPr>
        <w:t xml:space="preserve"> (</w:t>
      </w:r>
      <w:r w:rsidRPr="006C6A28">
        <w:rPr>
          <w:rFonts w:ascii="Times New Roman" w:eastAsia="Calibri" w:hAnsi="Times New Roman" w:cs="Times New Roman"/>
          <w:sz w:val="24"/>
          <w:szCs w:val="24"/>
          <w:vertAlign w:val="superscript"/>
        </w:rPr>
        <w:t>3</w:t>
      </w:r>
      <w:r w:rsidR="007574D6" w:rsidRPr="006C6A28">
        <w:rPr>
          <w:rFonts w:ascii="Times New Roman" w:eastAsia="Calibri" w:hAnsi="Times New Roman" w:cs="Times New Roman"/>
          <w:sz w:val="24"/>
          <w:szCs w:val="24"/>
          <w:vertAlign w:val="superscript"/>
        </w:rPr>
        <w:t>)</w:t>
      </w:r>
      <w:r w:rsidR="00677E51" w:rsidRPr="006C6A28">
        <w:rPr>
          <w:rFonts w:ascii="Times New Roman" w:eastAsia="Calibri" w:hAnsi="Times New Roman" w:cs="Times New Roman"/>
          <w:sz w:val="24"/>
          <w:szCs w:val="24"/>
          <w:vertAlign w:val="superscript"/>
        </w:rPr>
        <w:t xml:space="preserve"> </w:t>
      </w:r>
    </w:p>
    <w:p w14:paraId="49357FB0" w14:textId="77777777" w:rsidR="00884C7E" w:rsidRPr="006C6A28" w:rsidRDefault="009E0FB4" w:rsidP="0040344E">
      <w:pPr>
        <w:spacing w:after="0" w:line="360" w:lineRule="auto"/>
        <w:jc w:val="both"/>
        <w:rPr>
          <w:rFonts w:ascii="Times New Roman" w:eastAsia="Calibri" w:hAnsi="Times New Roman" w:cs="Times New Roman"/>
          <w:sz w:val="24"/>
          <w:szCs w:val="24"/>
          <w:vertAlign w:val="superscript"/>
        </w:rPr>
      </w:pPr>
      <w:r w:rsidRPr="006C6A28">
        <w:rPr>
          <w:rFonts w:ascii="Times New Roman" w:eastAsia="Calibri" w:hAnsi="Times New Roman" w:cs="Times New Roman"/>
          <w:sz w:val="24"/>
          <w:szCs w:val="24"/>
        </w:rPr>
        <w:t>Luis Gustavo González Gómez</w:t>
      </w:r>
      <w:r w:rsidR="00D661A7" w:rsidRPr="006C6A28">
        <w:rPr>
          <w:rFonts w:ascii="Times New Roman" w:eastAsia="Calibri" w:hAnsi="Times New Roman" w:cs="Times New Roman"/>
          <w:sz w:val="24"/>
          <w:szCs w:val="24"/>
          <w:vertAlign w:val="superscript"/>
        </w:rPr>
        <w:t>(</w:t>
      </w:r>
      <w:r w:rsidRPr="006C6A28">
        <w:rPr>
          <w:rFonts w:ascii="Times New Roman" w:eastAsia="Calibri" w:hAnsi="Times New Roman" w:cs="Times New Roman"/>
          <w:sz w:val="24"/>
          <w:szCs w:val="24"/>
          <w:vertAlign w:val="superscript"/>
        </w:rPr>
        <w:t>4</w:t>
      </w:r>
      <w:r w:rsidR="00D661A7" w:rsidRPr="006C6A28">
        <w:rPr>
          <w:rFonts w:ascii="Times New Roman" w:eastAsia="Calibri" w:hAnsi="Times New Roman" w:cs="Times New Roman"/>
          <w:sz w:val="24"/>
          <w:szCs w:val="24"/>
          <w:vertAlign w:val="superscript"/>
        </w:rPr>
        <w:t>)</w:t>
      </w:r>
    </w:p>
    <w:p w14:paraId="24707043" w14:textId="741B8B16" w:rsidR="00A32F94" w:rsidRPr="006C6A28" w:rsidRDefault="00F139AF" w:rsidP="0040344E">
      <w:pPr>
        <w:spacing w:after="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Aleixeder Torres Medina</w:t>
      </w:r>
      <w:r w:rsidR="00697C12" w:rsidRPr="006C6A28">
        <w:rPr>
          <w:rFonts w:ascii="Times New Roman" w:eastAsia="Calibri" w:hAnsi="Times New Roman" w:cs="Times New Roman"/>
          <w:sz w:val="24"/>
          <w:szCs w:val="24"/>
          <w:vertAlign w:val="superscript"/>
        </w:rPr>
        <w:t xml:space="preserve"> (</w:t>
      </w:r>
      <w:r w:rsidR="00715D99" w:rsidRPr="006C6A28">
        <w:rPr>
          <w:rFonts w:ascii="Times New Roman" w:eastAsia="Calibri" w:hAnsi="Times New Roman" w:cs="Times New Roman"/>
          <w:sz w:val="24"/>
          <w:szCs w:val="24"/>
          <w:vertAlign w:val="superscript"/>
        </w:rPr>
        <w:t>5</w:t>
      </w:r>
      <w:r w:rsidR="00663F0F" w:rsidRPr="006C6A28">
        <w:rPr>
          <w:rFonts w:ascii="Times New Roman" w:eastAsia="Calibri" w:hAnsi="Times New Roman" w:cs="Times New Roman"/>
          <w:sz w:val="24"/>
          <w:szCs w:val="24"/>
          <w:vertAlign w:val="superscript"/>
        </w:rPr>
        <w:t>)</w:t>
      </w:r>
      <w:r w:rsidR="00715D99" w:rsidRPr="006C6A28">
        <w:rPr>
          <w:rFonts w:ascii="Times New Roman" w:eastAsia="Calibri" w:hAnsi="Times New Roman" w:cs="Times New Roman"/>
          <w:sz w:val="24"/>
          <w:szCs w:val="24"/>
        </w:rPr>
        <w:t xml:space="preserve"> </w:t>
      </w:r>
    </w:p>
    <w:p w14:paraId="088F6E58" w14:textId="77777777" w:rsidR="002D3A41" w:rsidRPr="006C6A28" w:rsidRDefault="00715D99" w:rsidP="0040344E">
      <w:pPr>
        <w:widowControl w:val="0"/>
        <w:autoSpaceDE w:val="0"/>
        <w:autoSpaceDN w:val="0"/>
        <w:adjustRightInd w:val="0"/>
        <w:spacing w:after="120" w:line="360" w:lineRule="auto"/>
        <w:jc w:val="both"/>
        <w:rPr>
          <w:rFonts w:ascii="Times New Roman" w:hAnsi="Times New Roman" w:cs="Times New Roman"/>
          <w:sz w:val="24"/>
          <w:szCs w:val="24"/>
        </w:rPr>
      </w:pPr>
      <w:r w:rsidRPr="006C6A28">
        <w:rPr>
          <w:rFonts w:ascii="Times New Roman" w:eastAsia="Calibri" w:hAnsi="Times New Roman" w:cs="Times New Roman"/>
          <w:sz w:val="24"/>
          <w:szCs w:val="24"/>
        </w:rPr>
        <w:t xml:space="preserve">Jesús Alarcón </w:t>
      </w:r>
      <w:r w:rsidR="00697C12" w:rsidRPr="006C6A28">
        <w:rPr>
          <w:rFonts w:ascii="Times New Roman" w:eastAsia="Calibri" w:hAnsi="Times New Roman" w:cs="Times New Roman"/>
          <w:sz w:val="24"/>
          <w:szCs w:val="24"/>
        </w:rPr>
        <w:t>Méndez</w:t>
      </w:r>
      <w:r w:rsidR="00697C12" w:rsidRPr="006C6A28">
        <w:rPr>
          <w:rFonts w:ascii="Times New Roman" w:eastAsia="Calibri" w:hAnsi="Times New Roman" w:cs="Times New Roman"/>
          <w:sz w:val="24"/>
          <w:szCs w:val="24"/>
          <w:vertAlign w:val="superscript"/>
        </w:rPr>
        <w:t xml:space="preserve"> (</w:t>
      </w:r>
      <w:r w:rsidRPr="006C6A28">
        <w:rPr>
          <w:rFonts w:ascii="Times New Roman" w:eastAsia="Calibri" w:hAnsi="Times New Roman" w:cs="Times New Roman"/>
          <w:sz w:val="24"/>
          <w:szCs w:val="24"/>
          <w:vertAlign w:val="superscript"/>
        </w:rPr>
        <w:t>6</w:t>
      </w:r>
      <w:r w:rsidR="007744EE" w:rsidRPr="006C6A28">
        <w:rPr>
          <w:rFonts w:ascii="Times New Roman" w:eastAsia="Calibri" w:hAnsi="Times New Roman" w:cs="Times New Roman"/>
          <w:sz w:val="24"/>
          <w:szCs w:val="24"/>
          <w:vertAlign w:val="superscript"/>
        </w:rPr>
        <w:t>)</w:t>
      </w:r>
      <w:r w:rsidRPr="006C6A28">
        <w:rPr>
          <w:rFonts w:ascii="Times New Roman" w:eastAsia="Calibri" w:hAnsi="Times New Roman" w:cs="Times New Roman"/>
          <w:sz w:val="24"/>
          <w:szCs w:val="24"/>
          <w:vertAlign w:val="superscript"/>
        </w:rPr>
        <w:t>.</w:t>
      </w:r>
      <w:r w:rsidRPr="006C6A28">
        <w:rPr>
          <w:rFonts w:ascii="Times New Roman" w:eastAsia="Calibri" w:hAnsi="Times New Roman" w:cs="Times New Roman"/>
          <w:sz w:val="24"/>
          <w:szCs w:val="24"/>
        </w:rPr>
        <w:t xml:space="preserve"> </w:t>
      </w:r>
    </w:p>
    <w:p w14:paraId="0188DBB2" w14:textId="24156F83" w:rsidR="00677E51" w:rsidRPr="0040344E" w:rsidRDefault="0040344E" w:rsidP="0040344E">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00677E51" w:rsidRPr="0040344E">
        <w:rPr>
          <w:rFonts w:ascii="Times New Roman" w:eastAsia="Calibri" w:hAnsi="Times New Roman" w:cs="Times New Roman"/>
          <w:bCs/>
          <w:sz w:val="24"/>
          <w:szCs w:val="24"/>
        </w:rPr>
        <w:t>Universidad de Oriente. Centro Universitario Municipal de Contramaestre.</w:t>
      </w:r>
      <w:r>
        <w:rPr>
          <w:rFonts w:ascii="Times New Roman" w:eastAsia="Calibri" w:hAnsi="Times New Roman" w:cs="Times New Roman"/>
          <w:bCs/>
          <w:sz w:val="24"/>
          <w:szCs w:val="24"/>
        </w:rPr>
        <w:t xml:space="preserve"> email:</w:t>
      </w:r>
      <w:r w:rsidR="00E47F40" w:rsidRPr="0040344E">
        <w:rPr>
          <w:rFonts w:ascii="Times New Roman" w:eastAsia="Calibri" w:hAnsi="Times New Roman" w:cs="Times New Roman"/>
          <w:bCs/>
          <w:sz w:val="24"/>
          <w:szCs w:val="24"/>
        </w:rPr>
        <w:t xml:space="preserve"> </w:t>
      </w:r>
      <w:hyperlink r:id="rId8" w:history="1">
        <w:r w:rsidRPr="0040344E">
          <w:rPr>
            <w:rStyle w:val="Hipervnculo"/>
            <w:rFonts w:ascii="Times New Roman" w:eastAsia="Calibri" w:hAnsi="Times New Roman" w:cs="Times New Roman"/>
            <w:bCs/>
            <w:sz w:val="24"/>
            <w:szCs w:val="24"/>
          </w:rPr>
          <w:t>mario.alarcon@uo.edu.cu</w:t>
        </w:r>
      </w:hyperlink>
      <w:r>
        <w:rPr>
          <w:rFonts w:ascii="Times New Roman" w:eastAsia="Calibri" w:hAnsi="Times New Roman" w:cs="Times New Roman"/>
          <w:bCs/>
          <w:sz w:val="24"/>
          <w:szCs w:val="24"/>
        </w:rPr>
        <w:t xml:space="preserve">. </w:t>
      </w:r>
      <w:r w:rsidR="00677E51" w:rsidRPr="0040344E">
        <w:rPr>
          <w:rFonts w:ascii="Times New Roman" w:eastAsia="Calibri" w:hAnsi="Times New Roman" w:cs="Times New Roman"/>
          <w:bCs/>
          <w:sz w:val="24"/>
          <w:szCs w:val="24"/>
        </w:rPr>
        <w:t xml:space="preserve">ORCID: </w:t>
      </w:r>
      <w:hyperlink r:id="rId9" w:history="1">
        <w:r w:rsidR="006C6A28" w:rsidRPr="0040344E">
          <w:rPr>
            <w:rStyle w:val="Hipervnculo"/>
            <w:rFonts w:ascii="Times New Roman" w:eastAsia="Calibri" w:hAnsi="Times New Roman" w:cs="Times New Roman"/>
            <w:bCs/>
            <w:sz w:val="24"/>
            <w:szCs w:val="24"/>
          </w:rPr>
          <w:t>https://orcid.org/0009-0001-0116-5179</w:t>
        </w:r>
      </w:hyperlink>
    </w:p>
    <w:p w14:paraId="7A60F834" w14:textId="54B0A2B3" w:rsidR="00677E51" w:rsidRDefault="00677E51" w:rsidP="0040344E">
      <w:pPr>
        <w:spacing w:after="0" w:line="360" w:lineRule="auto"/>
        <w:jc w:val="both"/>
        <w:rPr>
          <w:rFonts w:ascii="Times New Roman" w:eastAsia="Calibri" w:hAnsi="Times New Roman" w:cs="Times New Roman"/>
          <w:bCs/>
          <w:sz w:val="24"/>
          <w:szCs w:val="24"/>
        </w:rPr>
      </w:pPr>
      <w:r w:rsidRPr="006C6A28">
        <w:rPr>
          <w:rFonts w:ascii="Times New Roman" w:hAnsi="Times New Roman" w:cs="Times New Roman"/>
          <w:sz w:val="24"/>
          <w:szCs w:val="24"/>
        </w:rPr>
        <w:t>(2)</w:t>
      </w:r>
      <w:r w:rsidR="006C6A28">
        <w:rPr>
          <w:rFonts w:ascii="Times New Roman" w:hAnsi="Times New Roman" w:cs="Times New Roman"/>
          <w:sz w:val="24"/>
          <w:szCs w:val="24"/>
        </w:rPr>
        <w:t xml:space="preserve"> </w:t>
      </w:r>
      <w:r w:rsidRPr="006C6A28">
        <w:rPr>
          <w:rFonts w:ascii="Times New Roman" w:eastAsia="Calibri" w:hAnsi="Times New Roman" w:cs="Times New Roman"/>
          <w:bCs/>
          <w:sz w:val="24"/>
          <w:szCs w:val="24"/>
        </w:rPr>
        <w:t>Universidad de Oriente. Centro Universitario Municipal de</w:t>
      </w:r>
      <w:r w:rsidR="008A7470" w:rsidRPr="006C6A28">
        <w:rPr>
          <w:rFonts w:ascii="Times New Roman" w:eastAsia="Calibri" w:hAnsi="Times New Roman" w:cs="Times New Roman"/>
          <w:bCs/>
          <w:sz w:val="24"/>
          <w:szCs w:val="24"/>
        </w:rPr>
        <w:t xml:space="preserve">  </w:t>
      </w:r>
      <w:r w:rsidRPr="006C6A28">
        <w:rPr>
          <w:rFonts w:ascii="Times New Roman" w:eastAsia="Calibri" w:hAnsi="Times New Roman" w:cs="Times New Roman"/>
          <w:bCs/>
          <w:sz w:val="24"/>
          <w:szCs w:val="24"/>
        </w:rPr>
        <w:t>Contramaestre.</w:t>
      </w:r>
      <w:r w:rsidR="0098542F" w:rsidRPr="006C6A28">
        <w:rPr>
          <w:rFonts w:ascii="Times New Roman" w:eastAsia="Calibri" w:hAnsi="Times New Roman" w:cs="Times New Roman"/>
          <w:bCs/>
          <w:sz w:val="24"/>
          <w:szCs w:val="24"/>
        </w:rPr>
        <w:t xml:space="preserve"> </w:t>
      </w:r>
      <w:r w:rsidR="0040344E">
        <w:rPr>
          <w:rFonts w:ascii="Times New Roman" w:eastAsia="Calibri" w:hAnsi="Times New Roman" w:cs="Times New Roman"/>
          <w:bCs/>
          <w:sz w:val="24"/>
          <w:szCs w:val="24"/>
        </w:rPr>
        <w:t xml:space="preserve">email: </w:t>
      </w:r>
      <w:hyperlink r:id="rId10" w:history="1">
        <w:r w:rsidR="0040344E" w:rsidRPr="004828A2">
          <w:rPr>
            <w:rStyle w:val="Hipervnculo"/>
            <w:rFonts w:ascii="Times New Roman" w:eastAsia="Calibri" w:hAnsi="Times New Roman" w:cs="Times New Roman"/>
            <w:bCs/>
            <w:sz w:val="24"/>
            <w:szCs w:val="24"/>
          </w:rPr>
          <w:t>adoche.vidal@uo.edu.cu</w:t>
        </w:r>
      </w:hyperlink>
      <w:r w:rsidR="0040344E">
        <w:rPr>
          <w:rFonts w:ascii="Times New Roman" w:eastAsia="Calibri" w:hAnsi="Times New Roman" w:cs="Times New Roman"/>
          <w:bCs/>
          <w:sz w:val="24"/>
          <w:szCs w:val="24"/>
        </w:rPr>
        <w:t xml:space="preserve">. </w:t>
      </w:r>
    </w:p>
    <w:p w14:paraId="751EDA1A" w14:textId="77777777" w:rsidR="00677E51" w:rsidRPr="006C6A28" w:rsidRDefault="00677E51" w:rsidP="0040344E">
      <w:pPr>
        <w:spacing w:after="0" w:line="360" w:lineRule="auto"/>
        <w:jc w:val="both"/>
        <w:rPr>
          <w:rFonts w:ascii="Times New Roman" w:eastAsia="Calibri" w:hAnsi="Times New Roman" w:cs="Times New Roman"/>
          <w:sz w:val="24"/>
          <w:szCs w:val="24"/>
        </w:rPr>
      </w:pPr>
      <w:r w:rsidRPr="006C6A28">
        <w:rPr>
          <w:rFonts w:ascii="Times New Roman" w:hAnsi="Times New Roman" w:cs="Times New Roman"/>
          <w:sz w:val="24"/>
          <w:szCs w:val="24"/>
        </w:rPr>
        <w:t>(3)</w:t>
      </w:r>
      <w:r w:rsidRPr="006C6A28">
        <w:rPr>
          <w:rFonts w:ascii="Times New Roman" w:eastAsia="Calibri" w:hAnsi="Times New Roman" w:cs="Times New Roman"/>
          <w:bCs/>
          <w:sz w:val="24"/>
          <w:szCs w:val="24"/>
        </w:rPr>
        <w:t xml:space="preserve"> Universidad de Oriente. Centro Universitario Municipal de Contramaestre.</w:t>
      </w:r>
    </w:p>
    <w:p w14:paraId="7FDF222F" w14:textId="3D9AC5A6" w:rsidR="006C6A28" w:rsidRDefault="007059FC" w:rsidP="0040344E">
      <w:pPr>
        <w:spacing w:after="0" w:line="360" w:lineRule="auto"/>
        <w:jc w:val="both"/>
        <w:rPr>
          <w:rFonts w:ascii="Times New Roman" w:eastAsia="Calibri" w:hAnsi="Times New Roman" w:cs="Times New Roman"/>
          <w:sz w:val="24"/>
          <w:szCs w:val="24"/>
        </w:rPr>
      </w:pPr>
      <w:r w:rsidRPr="006C6A28">
        <w:rPr>
          <w:rFonts w:ascii="Times New Roman" w:hAnsi="Times New Roman" w:cs="Times New Roman"/>
          <w:sz w:val="24"/>
          <w:szCs w:val="24"/>
        </w:rPr>
        <w:t>(4)</w:t>
      </w:r>
      <w:r w:rsidRPr="006C6A28">
        <w:rPr>
          <w:rFonts w:ascii="Times New Roman" w:eastAsia="Calibri" w:hAnsi="Times New Roman" w:cs="Times New Roman"/>
          <w:sz w:val="24"/>
          <w:szCs w:val="24"/>
        </w:rPr>
        <w:t xml:space="preserve"> Universidad de Granma.</w:t>
      </w:r>
      <w:r w:rsidR="0040344E">
        <w:rPr>
          <w:rFonts w:ascii="Times New Roman" w:eastAsia="Calibri" w:hAnsi="Times New Roman" w:cs="Times New Roman"/>
          <w:sz w:val="24"/>
          <w:szCs w:val="24"/>
        </w:rPr>
        <w:t xml:space="preserve"> e</w:t>
      </w:r>
      <w:r w:rsidR="0040344E" w:rsidRPr="0040344E">
        <w:rPr>
          <w:rFonts w:ascii="Times New Roman" w:eastAsia="Calibri" w:hAnsi="Times New Roman" w:cs="Times New Roman"/>
          <w:sz w:val="24"/>
          <w:szCs w:val="24"/>
          <w:lang w:val="es-CU"/>
        </w:rPr>
        <w:t>mail:</w:t>
      </w:r>
      <w:r w:rsidRPr="0040344E">
        <w:rPr>
          <w:rFonts w:ascii="Times New Roman" w:eastAsia="Calibri" w:hAnsi="Times New Roman" w:cs="Times New Roman"/>
          <w:sz w:val="24"/>
          <w:szCs w:val="24"/>
          <w:lang w:val="es-CU"/>
        </w:rPr>
        <w:t xml:space="preserve"> </w:t>
      </w:r>
      <w:hyperlink r:id="rId11" w:history="1">
        <w:r w:rsidR="006C6A28" w:rsidRPr="0040344E">
          <w:rPr>
            <w:rStyle w:val="Hipervnculo"/>
            <w:rFonts w:ascii="Times New Roman" w:eastAsia="Calibri" w:hAnsi="Times New Roman" w:cs="Times New Roman"/>
            <w:sz w:val="24"/>
            <w:szCs w:val="24"/>
            <w:lang w:val="es-CU"/>
          </w:rPr>
          <w:t>ggonzalezg@udg.co.cu</w:t>
        </w:r>
      </w:hyperlink>
      <w:r w:rsidR="006C6A28" w:rsidRPr="0040344E">
        <w:rPr>
          <w:rFonts w:ascii="Times New Roman" w:eastAsia="Calibri" w:hAnsi="Times New Roman" w:cs="Times New Roman"/>
          <w:sz w:val="24"/>
          <w:szCs w:val="24"/>
          <w:lang w:val="es-CU"/>
        </w:rPr>
        <w:t xml:space="preserve">. </w:t>
      </w:r>
      <w:r w:rsidR="006C6A28">
        <w:rPr>
          <w:rFonts w:ascii="Times New Roman" w:eastAsia="Calibri" w:hAnsi="Times New Roman" w:cs="Times New Roman"/>
          <w:sz w:val="24"/>
          <w:szCs w:val="24"/>
        </w:rPr>
        <w:t xml:space="preserve">ORCID: </w:t>
      </w:r>
      <w:hyperlink r:id="rId12" w:history="1">
        <w:r w:rsidR="006C6A28" w:rsidRPr="004828A2">
          <w:rPr>
            <w:rStyle w:val="Hipervnculo"/>
            <w:rFonts w:ascii="Times New Roman" w:eastAsia="Calibri" w:hAnsi="Times New Roman" w:cs="Times New Roman"/>
            <w:sz w:val="24"/>
            <w:szCs w:val="24"/>
          </w:rPr>
          <w:t>https://orcid.org/0000-0001-8585-5507</w:t>
        </w:r>
      </w:hyperlink>
    </w:p>
    <w:p w14:paraId="50617BDE" w14:textId="21596590" w:rsidR="00884C7E" w:rsidRPr="006C6A28" w:rsidRDefault="00884C7E" w:rsidP="0040344E">
      <w:pPr>
        <w:spacing w:after="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(5) Universidad de Granma.</w:t>
      </w:r>
      <w:r w:rsidR="0040344E">
        <w:rPr>
          <w:rFonts w:ascii="Times New Roman" w:eastAsia="Calibri" w:hAnsi="Times New Roman" w:cs="Times New Roman"/>
          <w:sz w:val="24"/>
          <w:szCs w:val="24"/>
        </w:rPr>
        <w:t xml:space="preserve"> email:</w:t>
      </w:r>
      <w:r w:rsidRPr="006C6A28">
        <w:rPr>
          <w:rFonts w:ascii="Times New Roman" w:eastAsia="Calibri" w:hAnsi="Times New Roman" w:cs="Times New Roman"/>
          <w:sz w:val="24"/>
          <w:szCs w:val="24"/>
        </w:rPr>
        <w:t xml:space="preserve"> </w:t>
      </w:r>
      <w:hyperlink r:id="rId13" w:history="1">
        <w:r w:rsidR="00D268A8" w:rsidRPr="00DD0648">
          <w:rPr>
            <w:rStyle w:val="Hipervnculo"/>
            <w:rFonts w:ascii="Times New Roman" w:eastAsia="Calibri" w:hAnsi="Times New Roman" w:cs="Times New Roman"/>
            <w:sz w:val="24"/>
            <w:szCs w:val="24"/>
          </w:rPr>
          <w:t>atorresme@estudiantes.udg.co.cu</w:t>
        </w:r>
      </w:hyperlink>
      <w:r w:rsidR="006C6A28">
        <w:rPr>
          <w:rFonts w:ascii="Times New Roman" w:eastAsia="Calibri" w:hAnsi="Times New Roman" w:cs="Times New Roman"/>
          <w:sz w:val="24"/>
          <w:szCs w:val="24"/>
        </w:rPr>
        <w:t>. Universidad de Granma</w:t>
      </w:r>
    </w:p>
    <w:p w14:paraId="46D9CFA9" w14:textId="5DAE070B" w:rsidR="0046680A" w:rsidRPr="00CD4C2D" w:rsidRDefault="0046680A" w:rsidP="0040344E">
      <w:pPr>
        <w:widowControl w:val="0"/>
        <w:autoSpaceDE w:val="0"/>
        <w:autoSpaceDN w:val="0"/>
        <w:adjustRightInd w:val="0"/>
        <w:spacing w:after="120" w:line="360" w:lineRule="auto"/>
        <w:jc w:val="both"/>
        <w:rPr>
          <w:rStyle w:val="Hipervnculo"/>
          <w:rFonts w:ascii="Times New Roman" w:hAnsi="Times New Roman" w:cs="Times New Roman"/>
          <w:color w:val="auto"/>
          <w:sz w:val="24"/>
          <w:szCs w:val="24"/>
          <w:u w:val="none"/>
          <w:lang w:val="es-CU"/>
        </w:rPr>
      </w:pPr>
      <w:r w:rsidRPr="006C6A28">
        <w:rPr>
          <w:rFonts w:ascii="Times New Roman" w:eastAsia="Calibri" w:hAnsi="Times New Roman" w:cs="Times New Roman"/>
          <w:sz w:val="24"/>
          <w:szCs w:val="24"/>
        </w:rPr>
        <w:t>(6) Biocuba.</w:t>
      </w:r>
      <w:r w:rsidR="0040344E">
        <w:rPr>
          <w:rFonts w:ascii="Times New Roman" w:eastAsia="Calibri" w:hAnsi="Times New Roman" w:cs="Times New Roman"/>
          <w:sz w:val="24"/>
          <w:szCs w:val="24"/>
        </w:rPr>
        <w:t xml:space="preserve"> </w:t>
      </w:r>
      <w:r w:rsidRPr="00CD4C2D">
        <w:rPr>
          <w:rFonts w:ascii="Times New Roman" w:eastAsia="Calibri" w:hAnsi="Times New Roman" w:cs="Times New Roman"/>
          <w:sz w:val="24"/>
          <w:szCs w:val="24"/>
          <w:lang w:val="es-CU"/>
        </w:rPr>
        <w:t>Café S.A.</w:t>
      </w:r>
      <w:r w:rsidR="0040344E" w:rsidRPr="00CD4C2D">
        <w:rPr>
          <w:rFonts w:ascii="Times New Roman" w:eastAsia="Calibri" w:hAnsi="Times New Roman" w:cs="Times New Roman"/>
          <w:sz w:val="24"/>
          <w:szCs w:val="24"/>
          <w:lang w:val="es-CU"/>
        </w:rPr>
        <w:t xml:space="preserve"> email: </w:t>
      </w:r>
      <w:hyperlink r:id="rId14" w:history="1">
        <w:r w:rsidR="0040344E" w:rsidRPr="00CD4C2D">
          <w:rPr>
            <w:rStyle w:val="Hipervnculo"/>
            <w:rFonts w:ascii="Times New Roman" w:eastAsia="Calibri" w:hAnsi="Times New Roman" w:cs="Times New Roman"/>
            <w:sz w:val="24"/>
            <w:szCs w:val="24"/>
            <w:lang w:val="es-CU"/>
          </w:rPr>
          <w:t>jesusalarconmendez98@gmail.com</w:t>
        </w:r>
      </w:hyperlink>
      <w:r w:rsidR="0040344E" w:rsidRPr="00CD4C2D">
        <w:rPr>
          <w:rFonts w:ascii="Times New Roman" w:eastAsia="Calibri" w:hAnsi="Times New Roman" w:cs="Times New Roman"/>
          <w:sz w:val="24"/>
          <w:szCs w:val="24"/>
          <w:lang w:val="es-CU"/>
        </w:rPr>
        <w:t xml:space="preserve">. ORCID: </w:t>
      </w:r>
      <w:hyperlink r:id="rId15" w:history="1">
        <w:r w:rsidR="0040344E" w:rsidRPr="00CD4C2D">
          <w:rPr>
            <w:rStyle w:val="Hipervnculo"/>
            <w:rFonts w:ascii="Times New Roman" w:hAnsi="Times New Roman" w:cs="Times New Roman"/>
            <w:sz w:val="24"/>
            <w:szCs w:val="24"/>
            <w:lang w:val="es-CU"/>
          </w:rPr>
          <w:t>https://orcid.org/0000-0003-4650-4645</w:t>
        </w:r>
      </w:hyperlink>
    </w:p>
    <w:p w14:paraId="5CE68764" w14:textId="77777777" w:rsidR="009661CB" w:rsidRPr="00B739D9" w:rsidRDefault="009661CB" w:rsidP="009661CB">
      <w:pPr>
        <w:spacing w:after="120" w:line="360" w:lineRule="auto"/>
        <w:jc w:val="right"/>
        <w:rPr>
          <w:rFonts w:ascii="Times New Roman" w:hAnsi="Times New Roman" w:cs="Times New Roman"/>
          <w:color w:val="0000FF"/>
          <w:sz w:val="24"/>
          <w:szCs w:val="24"/>
        </w:rPr>
      </w:pPr>
      <w:r w:rsidRPr="00B739D9">
        <w:rPr>
          <w:rFonts w:ascii="Times New Roman" w:hAnsi="Times New Roman" w:cs="Times New Roman"/>
          <w:color w:val="000000"/>
          <w:sz w:val="24"/>
          <w:szCs w:val="24"/>
        </w:rPr>
        <w:t xml:space="preserve">email de contacto: </w:t>
      </w:r>
      <w:r w:rsidRPr="00B739D9">
        <w:rPr>
          <w:rFonts w:ascii="Times New Roman" w:hAnsi="Times New Roman" w:cs="Times New Roman"/>
          <w:color w:val="0000FF"/>
          <w:sz w:val="24"/>
          <w:szCs w:val="24"/>
        </w:rPr>
        <w:t>ggonzalesg@udg.co.cu</w:t>
      </w:r>
    </w:p>
    <w:p w14:paraId="12E4DE3F" w14:textId="1D22C727" w:rsidR="009661CB" w:rsidRDefault="009661CB" w:rsidP="009661CB">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Articulo enviado: 0</w:t>
      </w:r>
      <w:r w:rsidR="00CE00E6">
        <w:rPr>
          <w:rFonts w:ascii="Times New Roman" w:hAnsi="Times New Roman" w:cs="Times New Roman"/>
          <w:sz w:val="24"/>
          <w:szCs w:val="24"/>
        </w:rPr>
        <w:t>8</w:t>
      </w:r>
      <w:r>
        <w:rPr>
          <w:rFonts w:ascii="Times New Roman" w:hAnsi="Times New Roman" w:cs="Times New Roman"/>
          <w:sz w:val="24"/>
          <w:szCs w:val="24"/>
        </w:rPr>
        <w:t>/1</w:t>
      </w:r>
      <w:r w:rsidR="00CE00E6">
        <w:rPr>
          <w:rFonts w:ascii="Times New Roman" w:hAnsi="Times New Roman" w:cs="Times New Roman"/>
          <w:sz w:val="24"/>
          <w:szCs w:val="24"/>
        </w:rPr>
        <w:t>0</w:t>
      </w:r>
      <w:r>
        <w:rPr>
          <w:rFonts w:ascii="Times New Roman" w:hAnsi="Times New Roman" w:cs="Times New Roman"/>
          <w:sz w:val="24"/>
          <w:szCs w:val="24"/>
        </w:rPr>
        <w:t>/2025 \ Aprobado: 2</w:t>
      </w:r>
      <w:r w:rsidR="00CE00E6">
        <w:rPr>
          <w:rFonts w:ascii="Times New Roman" w:hAnsi="Times New Roman" w:cs="Times New Roman"/>
          <w:sz w:val="24"/>
          <w:szCs w:val="24"/>
        </w:rPr>
        <w:t>0</w:t>
      </w:r>
      <w:r>
        <w:rPr>
          <w:rFonts w:ascii="Times New Roman" w:hAnsi="Times New Roman" w:cs="Times New Roman"/>
          <w:sz w:val="24"/>
          <w:szCs w:val="24"/>
        </w:rPr>
        <w:t>/0</w:t>
      </w:r>
      <w:r w:rsidR="00CE00E6">
        <w:rPr>
          <w:rFonts w:ascii="Times New Roman" w:hAnsi="Times New Roman" w:cs="Times New Roman"/>
          <w:sz w:val="24"/>
          <w:szCs w:val="24"/>
        </w:rPr>
        <w:t>4</w:t>
      </w:r>
      <w:r>
        <w:rPr>
          <w:rFonts w:ascii="Times New Roman" w:hAnsi="Times New Roman" w:cs="Times New Roman"/>
          <w:sz w:val="24"/>
          <w:szCs w:val="24"/>
        </w:rPr>
        <w:t>/2026</w:t>
      </w:r>
    </w:p>
    <w:p w14:paraId="2D006255" w14:textId="22DA1EC4" w:rsidR="006B3253" w:rsidRPr="00CD4C2D" w:rsidRDefault="007744EE" w:rsidP="0040344E">
      <w:pPr>
        <w:spacing w:after="120" w:line="360" w:lineRule="auto"/>
        <w:jc w:val="both"/>
        <w:rPr>
          <w:rFonts w:ascii="Times New Roman" w:hAnsi="Times New Roman" w:cs="Times New Roman"/>
          <w:b/>
          <w:sz w:val="24"/>
          <w:szCs w:val="24"/>
          <w:lang w:val="es-CU"/>
        </w:rPr>
      </w:pPr>
      <w:r w:rsidRPr="00CD4C2D">
        <w:rPr>
          <w:rFonts w:ascii="Times New Roman" w:hAnsi="Times New Roman" w:cs="Times New Roman"/>
          <w:b/>
          <w:sz w:val="24"/>
          <w:szCs w:val="24"/>
          <w:lang w:val="es-CU"/>
        </w:rPr>
        <w:t>Resumen</w:t>
      </w:r>
    </w:p>
    <w:p w14:paraId="02C92BDA" w14:textId="5F9C2D11" w:rsidR="006B3253" w:rsidRPr="006C6A28" w:rsidRDefault="006B3253" w:rsidP="0040344E">
      <w:pPr>
        <w:spacing w:after="120" w:line="360" w:lineRule="auto"/>
        <w:jc w:val="both"/>
        <w:rPr>
          <w:rFonts w:ascii="Times New Roman" w:hAnsi="Times New Roman" w:cs="Times New Roman"/>
          <w:sz w:val="24"/>
          <w:szCs w:val="24"/>
        </w:rPr>
      </w:pPr>
      <w:r w:rsidRPr="006C6A28">
        <w:rPr>
          <w:rFonts w:ascii="Times New Roman" w:hAnsi="Times New Roman" w:cs="Times New Roman"/>
          <w:sz w:val="24"/>
          <w:szCs w:val="24"/>
        </w:rPr>
        <w:t>El trabajo se realizó en un área de di</w:t>
      </w:r>
      <w:r w:rsidR="00D11376" w:rsidRPr="006C6A28">
        <w:rPr>
          <w:rFonts w:ascii="Times New Roman" w:hAnsi="Times New Roman" w:cs="Times New Roman"/>
          <w:sz w:val="24"/>
          <w:szCs w:val="24"/>
        </w:rPr>
        <w:t>cada a la agricultura familiar de</w:t>
      </w:r>
      <w:r w:rsidRPr="006C6A28">
        <w:rPr>
          <w:rFonts w:ascii="Times New Roman" w:hAnsi="Times New Roman" w:cs="Times New Roman"/>
          <w:sz w:val="24"/>
          <w:szCs w:val="24"/>
        </w:rPr>
        <w:t xml:space="preserve"> Contramaestre, Santiago de Cuba, Cuba</w:t>
      </w:r>
      <w:r w:rsidR="00AC62B3">
        <w:rPr>
          <w:rFonts w:ascii="Times New Roman" w:hAnsi="Times New Roman" w:cs="Times New Roman"/>
          <w:sz w:val="24"/>
          <w:szCs w:val="24"/>
        </w:rPr>
        <w:t>, c</w:t>
      </w:r>
      <w:r w:rsidRPr="006C6A28">
        <w:rPr>
          <w:rFonts w:ascii="Times New Roman" w:hAnsi="Times New Roman" w:cs="Times New Roman"/>
          <w:sz w:val="24"/>
          <w:szCs w:val="24"/>
        </w:rPr>
        <w:t xml:space="preserve">on el objetivo de evaluar el efecto de los bioinsumos Quitomax® y </w:t>
      </w:r>
      <w:r w:rsidR="003B126C" w:rsidRPr="006C6A28">
        <w:rPr>
          <w:rFonts w:ascii="Times New Roman" w:hAnsi="Times New Roman" w:cs="Times New Roman"/>
          <w:sz w:val="24"/>
          <w:szCs w:val="24"/>
        </w:rPr>
        <w:t>Azofert-F</w:t>
      </w:r>
      <w:r w:rsidR="00697C12" w:rsidRPr="006C6A28">
        <w:rPr>
          <w:rFonts w:ascii="Times New Roman" w:eastAsia="Calibri" w:hAnsi="Times New Roman" w:cs="Times New Roman"/>
          <w:b/>
          <w:sz w:val="24"/>
          <w:szCs w:val="24"/>
        </w:rPr>
        <w:t>®</w:t>
      </w:r>
      <w:r w:rsidRPr="006C6A28">
        <w:rPr>
          <w:rFonts w:ascii="Times New Roman" w:hAnsi="Times New Roman" w:cs="Times New Roman"/>
          <w:sz w:val="24"/>
          <w:szCs w:val="24"/>
        </w:rPr>
        <w:t xml:space="preserve"> en la variedad de frijol común “Velazco largo”, </w:t>
      </w:r>
      <w:r w:rsidR="00AC62B3">
        <w:rPr>
          <w:rFonts w:ascii="Times New Roman" w:hAnsi="Times New Roman" w:cs="Times New Roman"/>
          <w:sz w:val="24"/>
          <w:szCs w:val="24"/>
        </w:rPr>
        <w:t>comprendió</w:t>
      </w:r>
      <w:r w:rsidRPr="006C6A28">
        <w:rPr>
          <w:rFonts w:ascii="Times New Roman" w:hAnsi="Times New Roman" w:cs="Times New Roman"/>
          <w:sz w:val="24"/>
          <w:szCs w:val="24"/>
        </w:rPr>
        <w:t xml:space="preserve"> el periodo de diciembre del 202</w:t>
      </w:r>
      <w:r w:rsidR="00AC62B3">
        <w:rPr>
          <w:rFonts w:ascii="Times New Roman" w:hAnsi="Times New Roman" w:cs="Times New Roman"/>
          <w:sz w:val="24"/>
          <w:szCs w:val="24"/>
        </w:rPr>
        <w:t>4</w:t>
      </w:r>
      <w:r w:rsidRPr="006C6A28">
        <w:rPr>
          <w:rFonts w:ascii="Times New Roman" w:hAnsi="Times New Roman" w:cs="Times New Roman"/>
          <w:sz w:val="24"/>
          <w:szCs w:val="24"/>
        </w:rPr>
        <w:t xml:space="preserve"> </w:t>
      </w:r>
      <w:r w:rsidR="00AC62B3">
        <w:rPr>
          <w:rFonts w:ascii="Times New Roman" w:hAnsi="Times New Roman" w:cs="Times New Roman"/>
          <w:sz w:val="24"/>
          <w:szCs w:val="24"/>
        </w:rPr>
        <w:t xml:space="preserve">a </w:t>
      </w:r>
      <w:r w:rsidRPr="006C6A28">
        <w:rPr>
          <w:rFonts w:ascii="Times New Roman" w:hAnsi="Times New Roman" w:cs="Times New Roman"/>
          <w:sz w:val="24"/>
          <w:szCs w:val="24"/>
        </w:rPr>
        <w:t>marzo del 2025. Las aplicaciones de los bioinsumos fue</w:t>
      </w:r>
      <w:r w:rsidR="00AC62B3">
        <w:rPr>
          <w:rFonts w:ascii="Times New Roman" w:hAnsi="Times New Roman" w:cs="Times New Roman"/>
          <w:sz w:val="24"/>
          <w:szCs w:val="24"/>
        </w:rPr>
        <w:t>ron:</w:t>
      </w:r>
      <w:r w:rsidRPr="006C6A28">
        <w:rPr>
          <w:rFonts w:ascii="Times New Roman" w:hAnsi="Times New Roman" w:cs="Times New Roman"/>
          <w:sz w:val="24"/>
          <w:szCs w:val="24"/>
        </w:rPr>
        <w:t xml:space="preserve"> imbibición de las semillas en una solución de 500 ml de </w:t>
      </w:r>
      <w:r w:rsidR="003B126C" w:rsidRPr="006C6A28">
        <w:rPr>
          <w:rFonts w:ascii="Times New Roman" w:hAnsi="Times New Roman" w:cs="Times New Roman"/>
          <w:sz w:val="24"/>
          <w:szCs w:val="24"/>
        </w:rPr>
        <w:t>Azofert-F</w:t>
      </w:r>
      <w:r w:rsidR="00697C12" w:rsidRPr="006C6A28">
        <w:rPr>
          <w:rFonts w:ascii="Times New Roman" w:eastAsia="Calibri" w:hAnsi="Times New Roman" w:cs="Times New Roman"/>
          <w:b/>
          <w:sz w:val="24"/>
          <w:szCs w:val="24"/>
        </w:rPr>
        <w:t>®</w:t>
      </w:r>
      <w:r w:rsidRPr="006C6A28">
        <w:rPr>
          <w:rFonts w:ascii="Times New Roman" w:hAnsi="Times New Roman" w:cs="Times New Roman"/>
          <w:sz w:val="24"/>
          <w:szCs w:val="24"/>
        </w:rPr>
        <w:t xml:space="preserve"> en 1L de agua (tratamiento 2), otra solución de 50 ml de Quitomax® en 250 ml de agua (tratamientos 3) y la combinación primero en la solución de </w:t>
      </w:r>
      <w:r w:rsidRPr="006C6A28">
        <w:rPr>
          <w:rFonts w:ascii="Times New Roman" w:hAnsi="Times New Roman" w:cs="Times New Roman"/>
          <w:sz w:val="24"/>
          <w:szCs w:val="24"/>
        </w:rPr>
        <w:lastRenderedPageBreak/>
        <w:t xml:space="preserve">Quitomax® y luego en la de </w:t>
      </w:r>
      <w:r w:rsidR="003B126C" w:rsidRPr="006C6A28">
        <w:rPr>
          <w:rFonts w:ascii="Times New Roman" w:hAnsi="Times New Roman" w:cs="Times New Roman"/>
          <w:sz w:val="24"/>
          <w:szCs w:val="24"/>
        </w:rPr>
        <w:t>Azofert-F</w:t>
      </w:r>
      <w:r w:rsidR="00697C12" w:rsidRPr="006C6A28">
        <w:rPr>
          <w:rFonts w:ascii="Times New Roman" w:eastAsia="Calibri" w:hAnsi="Times New Roman" w:cs="Times New Roman"/>
          <w:b/>
          <w:sz w:val="24"/>
          <w:szCs w:val="24"/>
        </w:rPr>
        <w:t>®</w:t>
      </w:r>
      <w:r w:rsidRPr="006C6A28">
        <w:rPr>
          <w:rFonts w:ascii="Times New Roman" w:hAnsi="Times New Roman" w:cs="Times New Roman"/>
          <w:sz w:val="24"/>
          <w:szCs w:val="24"/>
        </w:rPr>
        <w:t xml:space="preserve"> (tratamiento 4), se evaluaro</w:t>
      </w:r>
      <w:r w:rsidR="00103198" w:rsidRPr="006C6A28">
        <w:rPr>
          <w:rFonts w:ascii="Times New Roman" w:hAnsi="Times New Roman" w:cs="Times New Roman"/>
          <w:sz w:val="24"/>
          <w:szCs w:val="24"/>
        </w:rPr>
        <w:t xml:space="preserve">n las </w:t>
      </w:r>
      <w:r w:rsidRPr="006C6A28">
        <w:rPr>
          <w:rFonts w:ascii="Times New Roman" w:hAnsi="Times New Roman" w:cs="Times New Roman"/>
          <w:sz w:val="24"/>
          <w:szCs w:val="24"/>
        </w:rPr>
        <w:t xml:space="preserve">variables: </w:t>
      </w:r>
      <w:r w:rsidR="00AC62B3">
        <w:rPr>
          <w:rFonts w:ascii="Times New Roman" w:hAnsi="Times New Roman" w:cs="Times New Roman"/>
          <w:sz w:val="24"/>
          <w:szCs w:val="24"/>
        </w:rPr>
        <w:t>n</w:t>
      </w:r>
      <w:r w:rsidRPr="006C6A28">
        <w:rPr>
          <w:rFonts w:ascii="Times New Roman" w:hAnsi="Times New Roman" w:cs="Times New Roman"/>
          <w:sz w:val="24"/>
          <w:szCs w:val="24"/>
        </w:rPr>
        <w:t>úmero de vainas por planta, número de granos por planta, peso de 100 semillas y el rendimiento</w:t>
      </w:r>
      <w:r w:rsidR="00C7284F" w:rsidRPr="006C6A28">
        <w:rPr>
          <w:rFonts w:ascii="Times New Roman" w:hAnsi="Times New Roman" w:cs="Times New Roman"/>
          <w:sz w:val="24"/>
          <w:szCs w:val="24"/>
        </w:rPr>
        <w:t>.</w:t>
      </w:r>
      <w:r w:rsidRPr="006C6A28">
        <w:rPr>
          <w:rFonts w:ascii="Times New Roman" w:hAnsi="Times New Roman" w:cs="Times New Roman"/>
          <w:sz w:val="24"/>
          <w:szCs w:val="24"/>
        </w:rPr>
        <w:t xml:space="preserve"> El diseño empleado fue de</w:t>
      </w:r>
      <w:r w:rsidR="00697C12" w:rsidRPr="006C6A28">
        <w:rPr>
          <w:rFonts w:ascii="Times New Roman" w:hAnsi="Times New Roman" w:cs="Times New Roman"/>
          <w:sz w:val="24"/>
          <w:szCs w:val="24"/>
        </w:rPr>
        <w:t xml:space="preserve"> </w:t>
      </w:r>
      <w:r w:rsidR="00AC62B3">
        <w:rPr>
          <w:rFonts w:ascii="Times New Roman" w:hAnsi="Times New Roman" w:cs="Times New Roman"/>
          <w:sz w:val="24"/>
          <w:szCs w:val="24"/>
        </w:rPr>
        <w:t>b</w:t>
      </w:r>
      <w:r w:rsidRPr="006C6A28">
        <w:rPr>
          <w:rFonts w:ascii="Times New Roman" w:hAnsi="Times New Roman" w:cs="Times New Roman"/>
          <w:sz w:val="24"/>
          <w:szCs w:val="24"/>
        </w:rPr>
        <w:t xml:space="preserve">loque al azar con cuatro tratamientos </w:t>
      </w:r>
      <w:r w:rsidR="00697C12" w:rsidRPr="006C6A28">
        <w:rPr>
          <w:rFonts w:ascii="Times New Roman" w:hAnsi="Times New Roman" w:cs="Times New Roman"/>
          <w:sz w:val="24"/>
          <w:szCs w:val="24"/>
        </w:rPr>
        <w:t>y</w:t>
      </w:r>
      <w:r w:rsidRPr="006C6A28">
        <w:rPr>
          <w:rFonts w:ascii="Times New Roman" w:hAnsi="Times New Roman" w:cs="Times New Roman"/>
          <w:sz w:val="24"/>
          <w:szCs w:val="24"/>
        </w:rPr>
        <w:t xml:space="preserve"> cuatro replicas. Se aplicó un análisis de varianza </w:t>
      </w:r>
      <w:r w:rsidR="00697C12" w:rsidRPr="006C6A28">
        <w:rPr>
          <w:rFonts w:ascii="Times New Roman" w:hAnsi="Times New Roman" w:cs="Times New Roman"/>
          <w:sz w:val="24"/>
          <w:szCs w:val="24"/>
        </w:rPr>
        <w:t>Clasificación doble</w:t>
      </w:r>
      <w:r w:rsidRPr="006C6A28">
        <w:rPr>
          <w:rFonts w:ascii="Times New Roman" w:hAnsi="Times New Roman" w:cs="Times New Roman"/>
          <w:sz w:val="24"/>
          <w:szCs w:val="24"/>
        </w:rPr>
        <w:t xml:space="preserve"> y cuando existieron diferencias significativas</w:t>
      </w:r>
      <w:r w:rsidR="00AC62B3">
        <w:rPr>
          <w:rFonts w:ascii="Times New Roman" w:hAnsi="Times New Roman" w:cs="Times New Roman"/>
          <w:sz w:val="24"/>
          <w:szCs w:val="24"/>
        </w:rPr>
        <w:t>,</w:t>
      </w:r>
      <w:r w:rsidRPr="006C6A28">
        <w:rPr>
          <w:rFonts w:ascii="Times New Roman" w:hAnsi="Times New Roman" w:cs="Times New Roman"/>
          <w:sz w:val="24"/>
          <w:szCs w:val="24"/>
        </w:rPr>
        <w:t xml:space="preserve"> una prueba de Comparación Múltiple de Media por Duncan para un 5 % de probabilidad del error. Los resultados obtenidos demostraron la efectividad de la combinación de bioinsumos (T4) al obtener</w:t>
      </w:r>
      <w:r w:rsidR="009F30B4">
        <w:rPr>
          <w:rFonts w:ascii="Times New Roman" w:hAnsi="Times New Roman" w:cs="Times New Roman"/>
          <w:sz w:val="24"/>
          <w:szCs w:val="24"/>
        </w:rPr>
        <w:t>se</w:t>
      </w:r>
      <w:r w:rsidRPr="006C6A28">
        <w:rPr>
          <w:rFonts w:ascii="Times New Roman" w:hAnsi="Times New Roman" w:cs="Times New Roman"/>
          <w:sz w:val="24"/>
          <w:szCs w:val="24"/>
        </w:rPr>
        <w:t xml:space="preserve"> el mayor rendimiento (2</w:t>
      </w:r>
      <w:r w:rsidR="00834CEE" w:rsidRPr="006C6A28">
        <w:rPr>
          <w:rFonts w:ascii="Times New Roman" w:hAnsi="Times New Roman" w:cs="Times New Roman"/>
          <w:sz w:val="24"/>
          <w:szCs w:val="24"/>
        </w:rPr>
        <w:t>,</w:t>
      </w:r>
      <w:r w:rsidRPr="006C6A28">
        <w:rPr>
          <w:rFonts w:ascii="Times New Roman" w:hAnsi="Times New Roman" w:cs="Times New Roman"/>
          <w:sz w:val="24"/>
          <w:szCs w:val="24"/>
        </w:rPr>
        <w:t>05 t</w:t>
      </w:r>
      <w:r w:rsidR="00834CEE" w:rsidRPr="006C6A28">
        <w:rPr>
          <w:rFonts w:ascii="Times New Roman" w:hAnsi="Times New Roman" w:cs="Times New Roman"/>
          <w:sz w:val="24"/>
          <w:szCs w:val="24"/>
        </w:rPr>
        <w:t>,</w:t>
      </w:r>
      <w:r w:rsidRPr="006C6A28">
        <w:rPr>
          <w:rFonts w:ascii="Times New Roman" w:hAnsi="Times New Roman" w:cs="Times New Roman"/>
          <w:sz w:val="24"/>
          <w:szCs w:val="24"/>
        </w:rPr>
        <w:t>ha</w:t>
      </w:r>
      <w:r w:rsidRPr="006C6A28">
        <w:rPr>
          <w:rFonts w:ascii="Times New Roman" w:hAnsi="Times New Roman" w:cs="Times New Roman"/>
          <w:sz w:val="24"/>
          <w:szCs w:val="24"/>
          <w:vertAlign w:val="superscript"/>
        </w:rPr>
        <w:t>-1</w:t>
      </w:r>
      <w:r w:rsidRPr="006C6A28">
        <w:rPr>
          <w:rFonts w:ascii="Times New Roman" w:hAnsi="Times New Roman" w:cs="Times New Roman"/>
          <w:sz w:val="24"/>
          <w:szCs w:val="24"/>
        </w:rPr>
        <w:t>), el (T3) donde se aplicó Quitomax® (1</w:t>
      </w:r>
      <w:r w:rsidR="00834CEE" w:rsidRPr="006C6A28">
        <w:rPr>
          <w:rFonts w:ascii="Times New Roman" w:hAnsi="Times New Roman" w:cs="Times New Roman"/>
          <w:sz w:val="24"/>
          <w:szCs w:val="24"/>
        </w:rPr>
        <w:t>,</w:t>
      </w:r>
      <w:r w:rsidRPr="006C6A28">
        <w:rPr>
          <w:rFonts w:ascii="Times New Roman" w:hAnsi="Times New Roman" w:cs="Times New Roman"/>
          <w:sz w:val="24"/>
          <w:szCs w:val="24"/>
        </w:rPr>
        <w:t>62 t</w:t>
      </w:r>
      <w:r w:rsidR="00834CEE" w:rsidRPr="006C6A28">
        <w:rPr>
          <w:rFonts w:ascii="Times New Roman" w:hAnsi="Times New Roman" w:cs="Times New Roman"/>
          <w:sz w:val="24"/>
          <w:szCs w:val="24"/>
        </w:rPr>
        <w:t xml:space="preserve"> </w:t>
      </w:r>
      <w:r w:rsidRPr="006C6A28">
        <w:rPr>
          <w:rFonts w:ascii="Times New Roman" w:hAnsi="Times New Roman" w:cs="Times New Roman"/>
          <w:sz w:val="24"/>
          <w:szCs w:val="24"/>
        </w:rPr>
        <w:t>ha</w:t>
      </w:r>
      <w:r w:rsidRPr="006C6A28">
        <w:rPr>
          <w:rFonts w:ascii="Times New Roman" w:hAnsi="Times New Roman" w:cs="Times New Roman"/>
          <w:sz w:val="24"/>
          <w:szCs w:val="24"/>
          <w:vertAlign w:val="superscript"/>
        </w:rPr>
        <w:t>-1</w:t>
      </w:r>
      <w:r w:rsidRPr="006C6A28">
        <w:rPr>
          <w:rFonts w:ascii="Times New Roman" w:hAnsi="Times New Roman" w:cs="Times New Roman"/>
          <w:sz w:val="24"/>
          <w:szCs w:val="24"/>
        </w:rPr>
        <w:t xml:space="preserve">) y con </w:t>
      </w:r>
      <w:r w:rsidR="003B126C" w:rsidRPr="006C6A28">
        <w:rPr>
          <w:rFonts w:ascii="Times New Roman" w:hAnsi="Times New Roman" w:cs="Times New Roman"/>
          <w:sz w:val="24"/>
          <w:szCs w:val="24"/>
        </w:rPr>
        <w:t>Azofert-F</w:t>
      </w:r>
      <w:r w:rsidR="00697C12" w:rsidRPr="006C6A28">
        <w:rPr>
          <w:rFonts w:ascii="Times New Roman" w:eastAsia="Calibri" w:hAnsi="Times New Roman" w:cs="Times New Roman"/>
          <w:b/>
          <w:sz w:val="24"/>
          <w:szCs w:val="24"/>
        </w:rPr>
        <w:t>®</w:t>
      </w:r>
      <w:r w:rsidRPr="006C6A28">
        <w:rPr>
          <w:rFonts w:ascii="Times New Roman" w:hAnsi="Times New Roman" w:cs="Times New Roman"/>
          <w:sz w:val="24"/>
          <w:szCs w:val="24"/>
        </w:rPr>
        <w:t xml:space="preserve"> (T2), (1</w:t>
      </w:r>
      <w:r w:rsidR="00834CEE" w:rsidRPr="006C6A28">
        <w:rPr>
          <w:rFonts w:ascii="Times New Roman" w:hAnsi="Times New Roman" w:cs="Times New Roman"/>
          <w:sz w:val="24"/>
          <w:szCs w:val="24"/>
        </w:rPr>
        <w:t>,</w:t>
      </w:r>
      <w:r w:rsidRPr="006C6A28">
        <w:rPr>
          <w:rFonts w:ascii="Times New Roman" w:hAnsi="Times New Roman" w:cs="Times New Roman"/>
          <w:sz w:val="24"/>
          <w:szCs w:val="24"/>
        </w:rPr>
        <w:t>19 t</w:t>
      </w:r>
      <w:r w:rsidR="00834CEE" w:rsidRPr="006C6A28">
        <w:rPr>
          <w:rFonts w:ascii="Times New Roman" w:hAnsi="Times New Roman" w:cs="Times New Roman"/>
          <w:sz w:val="24"/>
          <w:szCs w:val="24"/>
        </w:rPr>
        <w:t xml:space="preserve"> </w:t>
      </w:r>
      <w:r w:rsidRPr="006C6A28">
        <w:rPr>
          <w:rFonts w:ascii="Times New Roman" w:hAnsi="Times New Roman" w:cs="Times New Roman"/>
          <w:sz w:val="24"/>
          <w:szCs w:val="24"/>
        </w:rPr>
        <w:t>ha</w:t>
      </w:r>
      <w:r w:rsidRPr="006C6A28">
        <w:rPr>
          <w:rFonts w:ascii="Times New Roman" w:hAnsi="Times New Roman" w:cs="Times New Roman"/>
          <w:sz w:val="24"/>
          <w:szCs w:val="24"/>
          <w:vertAlign w:val="superscript"/>
        </w:rPr>
        <w:t>-1</w:t>
      </w:r>
      <w:r w:rsidRPr="006C6A28">
        <w:rPr>
          <w:rFonts w:ascii="Times New Roman" w:hAnsi="Times New Roman" w:cs="Times New Roman"/>
          <w:sz w:val="24"/>
          <w:szCs w:val="24"/>
        </w:rPr>
        <w:t xml:space="preserve">). Todos los tratamientos donde se aplicaron bioinsumos tuvieron resultados económicos positivos, destacándose el T4 con $289 490.00.  </w:t>
      </w:r>
    </w:p>
    <w:p w14:paraId="7AA3FCEB" w14:textId="77777777" w:rsidR="00427A83" w:rsidRPr="006C6A28" w:rsidRDefault="006B3253" w:rsidP="0040344E">
      <w:pPr>
        <w:spacing w:after="120" w:line="360" w:lineRule="auto"/>
        <w:jc w:val="both"/>
        <w:rPr>
          <w:rFonts w:ascii="Times New Roman" w:hAnsi="Times New Roman" w:cs="Times New Roman"/>
          <w:sz w:val="24"/>
          <w:szCs w:val="24"/>
        </w:rPr>
      </w:pPr>
      <w:r w:rsidRPr="006C6A28">
        <w:rPr>
          <w:rFonts w:ascii="Times New Roman" w:hAnsi="Times New Roman" w:cs="Times New Roman"/>
          <w:sz w:val="24"/>
          <w:szCs w:val="24"/>
        </w:rPr>
        <w:t>Palabras claves: Bioinsumos, soya, rendimiento.</w:t>
      </w:r>
    </w:p>
    <w:p w14:paraId="002AC275" w14:textId="77777777" w:rsidR="000F17BA" w:rsidRPr="006C6A28" w:rsidRDefault="001604C0" w:rsidP="0040344E">
      <w:pPr>
        <w:spacing w:after="120" w:line="360" w:lineRule="auto"/>
        <w:jc w:val="both"/>
        <w:rPr>
          <w:rFonts w:ascii="Times New Roman" w:eastAsia="Times New Roman" w:hAnsi="Times New Roman" w:cs="Times New Roman"/>
          <w:sz w:val="24"/>
          <w:szCs w:val="24"/>
          <w:lang w:val="en-US" w:eastAsia="es-ES"/>
        </w:rPr>
      </w:pPr>
      <w:r w:rsidRPr="006C6A28">
        <w:rPr>
          <w:rFonts w:ascii="Times New Roman" w:eastAsia="Times New Roman" w:hAnsi="Times New Roman" w:cs="Times New Roman"/>
          <w:sz w:val="24"/>
          <w:szCs w:val="24"/>
          <w:lang w:val="en-US" w:eastAsia="es-ES"/>
        </w:rPr>
        <w:t>Abstract</w:t>
      </w:r>
    </w:p>
    <w:p w14:paraId="0372A919" w14:textId="1D2F266A" w:rsidR="00697C12" w:rsidRPr="006C6A28" w:rsidRDefault="001604C0" w:rsidP="0040344E">
      <w:pPr>
        <w:spacing w:after="120" w:line="360" w:lineRule="auto"/>
        <w:jc w:val="both"/>
        <w:rPr>
          <w:rFonts w:ascii="Times New Roman" w:eastAsia="Times New Roman" w:hAnsi="Times New Roman" w:cs="Times New Roman"/>
          <w:sz w:val="24"/>
          <w:szCs w:val="24"/>
          <w:lang w:val="en-US" w:eastAsia="es-ES"/>
        </w:rPr>
      </w:pPr>
      <w:r w:rsidRPr="006C6A28">
        <w:rPr>
          <w:rFonts w:ascii="Times New Roman" w:eastAsia="Times New Roman" w:hAnsi="Times New Roman" w:cs="Times New Roman"/>
          <w:sz w:val="24"/>
          <w:szCs w:val="24"/>
          <w:lang w:val="en-US" w:eastAsia="es-ES"/>
        </w:rPr>
        <w:t>This study was conducted in an area dedicated to family farming in Contramaestre, Santiago de Cuba, Cuba. The objective was to evaluate the effect of the bio-inputs Quitomax® and Azofert-F</w:t>
      </w:r>
      <w:r w:rsidR="00697C12" w:rsidRPr="006C6A28">
        <w:rPr>
          <w:rFonts w:ascii="Times New Roman" w:eastAsia="Calibri" w:hAnsi="Times New Roman" w:cs="Times New Roman"/>
          <w:b/>
          <w:sz w:val="24"/>
          <w:szCs w:val="24"/>
          <w:lang w:val="en-US"/>
        </w:rPr>
        <w:t>®</w:t>
      </w:r>
      <w:r w:rsidRPr="006C6A28">
        <w:rPr>
          <w:rFonts w:ascii="Times New Roman" w:eastAsia="Times New Roman" w:hAnsi="Times New Roman" w:cs="Times New Roman"/>
          <w:sz w:val="24"/>
          <w:szCs w:val="24"/>
          <w:lang w:val="en-US" w:eastAsia="es-ES"/>
        </w:rPr>
        <w:t xml:space="preserve"> on the common bean variety “Velazco Largo.” The study was carried out between December 2024 and March 2025. The bio-inputs were applied by imbibing the seeds in a solution of 500 ml of Azofert-F in 1 L of water (treatment 2), another solution of 50 ml of Quitomax® in 250 ml of water (treatment 3), and a combination of both, first in the Quitomax® solution and then in the Azofert-F</w:t>
      </w:r>
      <w:r w:rsidR="00697C12" w:rsidRPr="006C6A28">
        <w:rPr>
          <w:rFonts w:ascii="Times New Roman" w:eastAsia="Calibri" w:hAnsi="Times New Roman" w:cs="Times New Roman"/>
          <w:b/>
          <w:sz w:val="24"/>
          <w:szCs w:val="24"/>
          <w:lang w:val="en-US"/>
        </w:rPr>
        <w:t>®</w:t>
      </w:r>
      <w:r w:rsidRPr="006C6A28">
        <w:rPr>
          <w:rFonts w:ascii="Times New Roman" w:eastAsia="Times New Roman" w:hAnsi="Times New Roman" w:cs="Times New Roman"/>
          <w:sz w:val="24"/>
          <w:szCs w:val="24"/>
          <w:lang w:val="en-US" w:eastAsia="es-ES"/>
        </w:rPr>
        <w:t xml:space="preserve"> solution (treatment 4). The following variables were evaluated: number of pods per plant, number of grains per plant, weight of 100 seeds, and yield. The experimental design was a randomized complete block design with four treatments in four replicates. A one-way analysis of variance was applied, and when significant differences were found, a Duncan's multiple range test was used with a 5% probability of error. The results obtained demonstrated the effectiveness of the bio-input combination (T4), which achieved the highest yield (2</w:t>
      </w:r>
      <w:r w:rsidR="00055B5B" w:rsidRPr="006C6A28">
        <w:rPr>
          <w:rFonts w:ascii="Times New Roman" w:eastAsia="Times New Roman" w:hAnsi="Times New Roman" w:cs="Times New Roman"/>
          <w:sz w:val="24"/>
          <w:szCs w:val="24"/>
          <w:lang w:val="en-US" w:eastAsia="es-ES"/>
        </w:rPr>
        <w:t>,</w:t>
      </w:r>
      <w:r w:rsidRPr="006C6A28">
        <w:rPr>
          <w:rFonts w:ascii="Times New Roman" w:eastAsia="Times New Roman" w:hAnsi="Times New Roman" w:cs="Times New Roman"/>
          <w:sz w:val="24"/>
          <w:szCs w:val="24"/>
          <w:lang w:val="en-US" w:eastAsia="es-ES"/>
        </w:rPr>
        <w:t>05 t ha</w:t>
      </w:r>
      <w:r w:rsidRPr="006C6A28">
        <w:rPr>
          <w:rFonts w:ascii="Times New Roman" w:eastAsia="Times New Roman" w:hAnsi="Times New Roman" w:cs="Times New Roman"/>
          <w:sz w:val="24"/>
          <w:szCs w:val="24"/>
          <w:vertAlign w:val="superscript"/>
          <w:lang w:val="en-US" w:eastAsia="es-ES"/>
        </w:rPr>
        <w:t>-1</w:t>
      </w:r>
      <w:r w:rsidRPr="006C6A28">
        <w:rPr>
          <w:rFonts w:ascii="Times New Roman" w:eastAsia="Times New Roman" w:hAnsi="Times New Roman" w:cs="Times New Roman"/>
          <w:sz w:val="24"/>
          <w:szCs w:val="24"/>
          <w:lang w:val="en-US" w:eastAsia="es-ES"/>
        </w:rPr>
        <w:t>), followed by (T3) with Quitomax® (1</w:t>
      </w:r>
      <w:r w:rsidR="00055B5B" w:rsidRPr="006C6A28">
        <w:rPr>
          <w:rFonts w:ascii="Times New Roman" w:eastAsia="Times New Roman" w:hAnsi="Times New Roman" w:cs="Times New Roman"/>
          <w:sz w:val="24"/>
          <w:szCs w:val="24"/>
          <w:lang w:val="en-US" w:eastAsia="es-ES"/>
        </w:rPr>
        <w:t>,</w:t>
      </w:r>
      <w:r w:rsidRPr="006C6A28">
        <w:rPr>
          <w:rFonts w:ascii="Times New Roman" w:eastAsia="Times New Roman" w:hAnsi="Times New Roman" w:cs="Times New Roman"/>
          <w:sz w:val="24"/>
          <w:szCs w:val="24"/>
          <w:lang w:val="en-US" w:eastAsia="es-ES"/>
        </w:rPr>
        <w:t>62 t ha</w:t>
      </w:r>
      <w:r w:rsidRPr="006C6A28">
        <w:rPr>
          <w:rFonts w:ascii="Times New Roman" w:eastAsia="Times New Roman" w:hAnsi="Times New Roman" w:cs="Times New Roman"/>
          <w:sz w:val="24"/>
          <w:szCs w:val="24"/>
          <w:vertAlign w:val="superscript"/>
          <w:lang w:val="en-US" w:eastAsia="es-ES"/>
        </w:rPr>
        <w:t>-1</w:t>
      </w:r>
      <w:r w:rsidRPr="006C6A28">
        <w:rPr>
          <w:rFonts w:ascii="Times New Roman" w:eastAsia="Times New Roman" w:hAnsi="Times New Roman" w:cs="Times New Roman"/>
          <w:sz w:val="24"/>
          <w:szCs w:val="24"/>
          <w:lang w:val="en-US" w:eastAsia="es-ES"/>
        </w:rPr>
        <w:t>) and (T2) with Azofert-F</w:t>
      </w:r>
      <w:r w:rsidR="00697C12" w:rsidRPr="006C6A28">
        <w:rPr>
          <w:rFonts w:ascii="Times New Roman" w:eastAsia="Calibri" w:hAnsi="Times New Roman" w:cs="Times New Roman"/>
          <w:b/>
          <w:sz w:val="24"/>
          <w:szCs w:val="24"/>
          <w:lang w:val="en-US"/>
        </w:rPr>
        <w:t>®</w:t>
      </w:r>
      <w:r w:rsidRPr="006C6A28">
        <w:rPr>
          <w:rFonts w:ascii="Times New Roman" w:eastAsia="Times New Roman" w:hAnsi="Times New Roman" w:cs="Times New Roman"/>
          <w:sz w:val="24"/>
          <w:szCs w:val="24"/>
          <w:lang w:val="en-US" w:eastAsia="es-ES"/>
        </w:rPr>
        <w:t xml:space="preserve"> (1</w:t>
      </w:r>
      <w:r w:rsidR="00055B5B" w:rsidRPr="006C6A28">
        <w:rPr>
          <w:rFonts w:ascii="Times New Roman" w:eastAsia="Times New Roman" w:hAnsi="Times New Roman" w:cs="Times New Roman"/>
          <w:sz w:val="24"/>
          <w:szCs w:val="24"/>
          <w:lang w:val="en-US" w:eastAsia="es-ES"/>
        </w:rPr>
        <w:t>,</w:t>
      </w:r>
      <w:r w:rsidRPr="006C6A28">
        <w:rPr>
          <w:rFonts w:ascii="Times New Roman" w:eastAsia="Times New Roman" w:hAnsi="Times New Roman" w:cs="Times New Roman"/>
          <w:sz w:val="24"/>
          <w:szCs w:val="24"/>
          <w:lang w:val="en-US" w:eastAsia="es-ES"/>
        </w:rPr>
        <w:t>19 t ha</w:t>
      </w:r>
      <w:r w:rsidRPr="006C6A28">
        <w:rPr>
          <w:rFonts w:ascii="Times New Roman" w:eastAsia="Times New Roman" w:hAnsi="Times New Roman" w:cs="Times New Roman"/>
          <w:sz w:val="24"/>
          <w:szCs w:val="24"/>
          <w:vertAlign w:val="superscript"/>
          <w:lang w:val="en-US" w:eastAsia="es-ES"/>
        </w:rPr>
        <w:t>-1</w:t>
      </w:r>
      <w:r w:rsidRPr="006C6A28">
        <w:rPr>
          <w:rFonts w:ascii="Times New Roman" w:eastAsia="Times New Roman" w:hAnsi="Times New Roman" w:cs="Times New Roman"/>
          <w:sz w:val="24"/>
          <w:szCs w:val="24"/>
          <w:lang w:val="en-US" w:eastAsia="es-ES"/>
        </w:rPr>
        <w:t>). All treatments with bio-inputs showed positive economic results, with (T4) standing out at $289</w:t>
      </w:r>
      <w:r w:rsidR="00055B5B" w:rsidRPr="006C6A28">
        <w:rPr>
          <w:rFonts w:ascii="Times New Roman" w:eastAsia="Times New Roman" w:hAnsi="Times New Roman" w:cs="Times New Roman"/>
          <w:sz w:val="24"/>
          <w:szCs w:val="24"/>
          <w:lang w:val="en-US" w:eastAsia="es-ES"/>
        </w:rPr>
        <w:t xml:space="preserve"> </w:t>
      </w:r>
      <w:r w:rsidRPr="006C6A28">
        <w:rPr>
          <w:rFonts w:ascii="Times New Roman" w:eastAsia="Times New Roman" w:hAnsi="Times New Roman" w:cs="Times New Roman"/>
          <w:sz w:val="24"/>
          <w:szCs w:val="24"/>
          <w:lang w:val="en-US" w:eastAsia="es-ES"/>
        </w:rPr>
        <w:t xml:space="preserve">490.00. </w:t>
      </w:r>
    </w:p>
    <w:p w14:paraId="60CDC619" w14:textId="77777777" w:rsidR="001604C0" w:rsidRPr="006C6A28" w:rsidRDefault="001604C0" w:rsidP="0040344E">
      <w:pPr>
        <w:spacing w:after="120" w:line="360" w:lineRule="auto"/>
        <w:jc w:val="both"/>
        <w:rPr>
          <w:rFonts w:ascii="Times New Roman" w:eastAsia="Times New Roman" w:hAnsi="Times New Roman" w:cs="Times New Roman"/>
          <w:sz w:val="24"/>
          <w:szCs w:val="24"/>
          <w:lang w:val="en-US" w:eastAsia="es-ES"/>
        </w:rPr>
      </w:pPr>
      <w:r w:rsidRPr="006C6A28">
        <w:rPr>
          <w:rFonts w:ascii="Times New Roman" w:eastAsia="Times New Roman" w:hAnsi="Times New Roman" w:cs="Times New Roman"/>
          <w:sz w:val="24"/>
          <w:szCs w:val="24"/>
          <w:lang w:val="en-US" w:eastAsia="es-ES"/>
        </w:rPr>
        <w:t>Keywords: Bio-inputs, soybeans, yield.</w:t>
      </w:r>
    </w:p>
    <w:p w14:paraId="5135A720" w14:textId="77777777" w:rsidR="00055B5B" w:rsidRPr="006C6A28" w:rsidRDefault="00E0516C" w:rsidP="0040344E">
      <w:pPr>
        <w:spacing w:after="120" w:line="360" w:lineRule="auto"/>
        <w:jc w:val="both"/>
        <w:rPr>
          <w:rFonts w:ascii="Times New Roman" w:hAnsi="Times New Roman" w:cs="Times New Roman"/>
          <w:b/>
          <w:sz w:val="24"/>
          <w:szCs w:val="24"/>
        </w:rPr>
      </w:pPr>
      <w:r w:rsidRPr="006C6A28">
        <w:rPr>
          <w:rFonts w:ascii="Times New Roman" w:hAnsi="Times New Roman" w:cs="Times New Roman"/>
          <w:b/>
          <w:sz w:val="24"/>
          <w:szCs w:val="24"/>
        </w:rPr>
        <w:t>Introducción</w:t>
      </w:r>
    </w:p>
    <w:p w14:paraId="12595BDB" w14:textId="3A7FC414" w:rsidR="006B3253" w:rsidRPr="006C6A28" w:rsidRDefault="006B3253" w:rsidP="0040344E">
      <w:pPr>
        <w:spacing w:after="120" w:line="360" w:lineRule="auto"/>
        <w:jc w:val="both"/>
        <w:rPr>
          <w:rFonts w:ascii="Times New Roman" w:hAnsi="Times New Roman" w:cs="Times New Roman"/>
          <w:color w:val="000000" w:themeColor="text1"/>
          <w:sz w:val="24"/>
          <w:szCs w:val="24"/>
        </w:rPr>
      </w:pPr>
      <w:r w:rsidRPr="006C6A28">
        <w:rPr>
          <w:rFonts w:ascii="Times New Roman" w:hAnsi="Times New Roman" w:cs="Times New Roman"/>
          <w:sz w:val="24"/>
          <w:szCs w:val="24"/>
        </w:rPr>
        <w:t>El frijol común (</w:t>
      </w:r>
      <w:r w:rsidRPr="006C6A28">
        <w:rPr>
          <w:rFonts w:ascii="Times New Roman" w:hAnsi="Times New Roman" w:cs="Times New Roman"/>
          <w:i/>
          <w:sz w:val="24"/>
          <w:szCs w:val="24"/>
        </w:rPr>
        <w:t>Phaseolus vulgaris L.)</w:t>
      </w:r>
      <w:r w:rsidRPr="006C6A28">
        <w:rPr>
          <w:rFonts w:ascii="Times New Roman" w:hAnsi="Times New Roman" w:cs="Times New Roman"/>
          <w:sz w:val="24"/>
          <w:szCs w:val="24"/>
        </w:rPr>
        <w:t xml:space="preserve"> es</w:t>
      </w:r>
      <w:r w:rsidR="00584D0D">
        <w:rPr>
          <w:rFonts w:ascii="Times New Roman" w:hAnsi="Times New Roman" w:cs="Times New Roman"/>
          <w:sz w:val="24"/>
          <w:szCs w:val="24"/>
        </w:rPr>
        <w:t>,</w:t>
      </w:r>
      <w:r w:rsidRPr="006C6A28">
        <w:rPr>
          <w:rFonts w:ascii="Times New Roman" w:hAnsi="Times New Roman" w:cs="Times New Roman"/>
          <w:sz w:val="24"/>
          <w:szCs w:val="24"/>
        </w:rPr>
        <w:t xml:space="preserve"> entre las leguminosas alimenticias, la especie más importante para el consumo humano y en estos momentos resulta de vital importancia incrementar su producción debido a la necesidad de satisfacer la  demanda del rubro. Según datos </w:t>
      </w:r>
      <w:r w:rsidRPr="006C6A28">
        <w:rPr>
          <w:rFonts w:ascii="Times New Roman" w:hAnsi="Times New Roman" w:cs="Times New Roman"/>
          <w:sz w:val="24"/>
          <w:szCs w:val="24"/>
        </w:rPr>
        <w:lastRenderedPageBreak/>
        <w:t xml:space="preserve">de la Organización de las Naciones Unidas para la Agricultura y la Alimentación </w:t>
      </w:r>
      <w:r w:rsidRPr="006C6A28">
        <w:rPr>
          <w:rFonts w:ascii="Times New Roman" w:hAnsi="Times New Roman" w:cs="Times New Roman"/>
          <w:color w:val="000000" w:themeColor="text1"/>
          <w:sz w:val="24"/>
          <w:szCs w:val="24"/>
        </w:rPr>
        <w:t xml:space="preserve">(FAO, 2018), </w:t>
      </w:r>
      <w:r w:rsidRPr="006C6A28">
        <w:rPr>
          <w:rFonts w:ascii="Times New Roman" w:hAnsi="Times New Roman" w:cs="Times New Roman"/>
          <w:sz w:val="24"/>
          <w:szCs w:val="24"/>
        </w:rPr>
        <w:t xml:space="preserve">el frijol común es </w:t>
      </w:r>
      <w:r w:rsidR="004972CD" w:rsidRPr="006C6A28">
        <w:rPr>
          <w:rFonts w:ascii="Times New Roman" w:hAnsi="Times New Roman" w:cs="Times New Roman"/>
          <w:sz w:val="24"/>
          <w:szCs w:val="24"/>
        </w:rPr>
        <w:t>el primer producto</w:t>
      </w:r>
      <w:r w:rsidRPr="006C6A28">
        <w:rPr>
          <w:rFonts w:ascii="Times New Roman" w:hAnsi="Times New Roman" w:cs="Times New Roman"/>
          <w:sz w:val="24"/>
          <w:szCs w:val="24"/>
        </w:rPr>
        <w:t xml:space="preserve"> de </w:t>
      </w:r>
      <w:r w:rsidR="004972CD" w:rsidRPr="006C6A28">
        <w:rPr>
          <w:rFonts w:ascii="Times New Roman" w:hAnsi="Times New Roman" w:cs="Times New Roman"/>
          <w:sz w:val="24"/>
          <w:szCs w:val="24"/>
        </w:rPr>
        <w:t xml:space="preserve">los </w:t>
      </w:r>
      <w:r w:rsidRPr="006C6A28">
        <w:rPr>
          <w:rFonts w:ascii="Times New Roman" w:hAnsi="Times New Roman" w:cs="Times New Roman"/>
          <w:sz w:val="24"/>
          <w:szCs w:val="24"/>
        </w:rPr>
        <w:t>granos</w:t>
      </w:r>
      <w:r w:rsidR="00584D0D" w:rsidRPr="00584D0D">
        <w:rPr>
          <w:rFonts w:ascii="Times New Roman" w:hAnsi="Times New Roman" w:cs="Times New Roman"/>
          <w:sz w:val="24"/>
          <w:szCs w:val="24"/>
        </w:rPr>
        <w:t xml:space="preserve"> </w:t>
      </w:r>
      <w:r w:rsidR="00584D0D" w:rsidRPr="006C6A28">
        <w:rPr>
          <w:rFonts w:ascii="Times New Roman" w:hAnsi="Times New Roman" w:cs="Times New Roman"/>
          <w:sz w:val="24"/>
          <w:szCs w:val="24"/>
        </w:rPr>
        <w:t>a nivel mundial</w:t>
      </w:r>
      <w:r w:rsidRPr="006C6A28">
        <w:rPr>
          <w:rFonts w:ascii="Times New Roman" w:hAnsi="Times New Roman" w:cs="Times New Roman"/>
          <w:sz w:val="24"/>
          <w:szCs w:val="24"/>
        </w:rPr>
        <w:t xml:space="preserve">, por superficie cultivada. </w:t>
      </w:r>
      <w:r w:rsidRPr="006C6A28">
        <w:rPr>
          <w:rFonts w:ascii="Times New Roman" w:hAnsi="Times New Roman" w:cs="Times New Roman"/>
          <w:color w:val="000000" w:themeColor="text1"/>
          <w:sz w:val="24"/>
          <w:szCs w:val="24"/>
        </w:rPr>
        <w:t>Es una legumbre de grano muy importante en las Américas y partes de África donde sirve como fuente vital de proteína, vitaminas y nutrientes minerales</w:t>
      </w:r>
      <w:r w:rsidR="00A55DC9" w:rsidRPr="006C6A28">
        <w:rPr>
          <w:rFonts w:ascii="Times New Roman" w:hAnsi="Times New Roman" w:cs="Times New Roman"/>
          <w:color w:val="000000" w:themeColor="text1"/>
          <w:sz w:val="24"/>
          <w:szCs w:val="24"/>
        </w:rPr>
        <w:t xml:space="preserve"> </w:t>
      </w:r>
      <w:r w:rsidRPr="006C6A28">
        <w:rPr>
          <w:rFonts w:ascii="Times New Roman" w:hAnsi="Times New Roman" w:cs="Times New Roman"/>
          <w:color w:val="000000" w:themeColor="text1"/>
          <w:sz w:val="24"/>
          <w:szCs w:val="24"/>
        </w:rPr>
        <w:t xml:space="preserve">(Dorcinvil, </w:t>
      </w:r>
      <w:r w:rsidRPr="006C6A28">
        <w:rPr>
          <w:rFonts w:ascii="Times New Roman" w:hAnsi="Times New Roman" w:cs="Times New Roman"/>
          <w:i/>
          <w:color w:val="000000" w:themeColor="text1"/>
          <w:sz w:val="24"/>
          <w:szCs w:val="24"/>
        </w:rPr>
        <w:t>et al., 2017)</w:t>
      </w:r>
      <w:r w:rsidRPr="006C6A28">
        <w:rPr>
          <w:rFonts w:ascii="Times New Roman" w:hAnsi="Times New Roman" w:cs="Times New Roman"/>
          <w:color w:val="000000" w:themeColor="text1"/>
          <w:sz w:val="24"/>
          <w:szCs w:val="24"/>
        </w:rPr>
        <w:t xml:space="preserve">. </w:t>
      </w:r>
    </w:p>
    <w:p w14:paraId="0925A340" w14:textId="1AE0D0C5" w:rsidR="003C2455" w:rsidRPr="006C6A28" w:rsidRDefault="006B3253" w:rsidP="0040344E">
      <w:pPr>
        <w:spacing w:after="120" w:line="360" w:lineRule="auto"/>
        <w:jc w:val="both"/>
        <w:rPr>
          <w:rFonts w:ascii="Times New Roman" w:hAnsi="Times New Roman" w:cs="Times New Roman"/>
          <w:sz w:val="24"/>
          <w:szCs w:val="24"/>
        </w:rPr>
      </w:pPr>
      <w:r w:rsidRPr="006C6A28">
        <w:rPr>
          <w:rFonts w:ascii="Times New Roman" w:hAnsi="Times New Roman" w:cs="Times New Roman"/>
          <w:sz w:val="24"/>
          <w:szCs w:val="24"/>
        </w:rPr>
        <w:t>En Cuba, esta leguminosa tiene gran importancia y se cultiva a lo largo y ancho del país, con un área total</w:t>
      </w:r>
      <w:r w:rsidR="00E43D9F">
        <w:rPr>
          <w:rFonts w:ascii="Times New Roman" w:hAnsi="Times New Roman" w:cs="Times New Roman"/>
          <w:sz w:val="24"/>
          <w:szCs w:val="24"/>
        </w:rPr>
        <w:t xml:space="preserve"> </w:t>
      </w:r>
      <w:r w:rsidRPr="006C6A28">
        <w:rPr>
          <w:rFonts w:ascii="Times New Roman" w:hAnsi="Times New Roman" w:cs="Times New Roman"/>
          <w:sz w:val="24"/>
          <w:szCs w:val="24"/>
        </w:rPr>
        <w:t>sembrada</w:t>
      </w:r>
      <w:r w:rsidR="00E43D9F">
        <w:rPr>
          <w:rFonts w:ascii="Times New Roman" w:hAnsi="Times New Roman" w:cs="Times New Roman"/>
          <w:sz w:val="24"/>
          <w:szCs w:val="24"/>
        </w:rPr>
        <w:t xml:space="preserve">, durante el año 2015, </w:t>
      </w:r>
      <w:r w:rsidRPr="006C6A28">
        <w:rPr>
          <w:rFonts w:ascii="Times New Roman" w:hAnsi="Times New Roman" w:cs="Times New Roman"/>
          <w:sz w:val="24"/>
          <w:szCs w:val="24"/>
        </w:rPr>
        <w:t xml:space="preserve">de 104500 hectáreas (ONEI, 2016). Los rendimientos agrícolas según el diagnóstico realizado </w:t>
      </w:r>
      <w:r w:rsidR="00E43D9F">
        <w:rPr>
          <w:rFonts w:ascii="Times New Roman" w:hAnsi="Times New Roman" w:cs="Times New Roman"/>
          <w:sz w:val="24"/>
          <w:szCs w:val="24"/>
        </w:rPr>
        <w:t xml:space="preserve">en </w:t>
      </w:r>
      <w:r w:rsidRPr="006C6A28">
        <w:rPr>
          <w:rFonts w:ascii="Times New Roman" w:hAnsi="Times New Roman" w:cs="Times New Roman"/>
          <w:sz w:val="24"/>
          <w:szCs w:val="24"/>
        </w:rPr>
        <w:t>el año 2015 para la cadena del frijol común a nivel nacional oscila</w:t>
      </w:r>
      <w:r w:rsidR="00E43D9F">
        <w:rPr>
          <w:rFonts w:ascii="Times New Roman" w:hAnsi="Times New Roman" w:cs="Times New Roman"/>
          <w:sz w:val="24"/>
          <w:szCs w:val="24"/>
        </w:rPr>
        <w:t>n</w:t>
      </w:r>
      <w:r w:rsidRPr="006C6A28">
        <w:rPr>
          <w:rFonts w:ascii="Times New Roman" w:hAnsi="Times New Roman" w:cs="Times New Roman"/>
          <w:sz w:val="24"/>
          <w:szCs w:val="24"/>
        </w:rPr>
        <w:t xml:space="preserve"> entre 0,8 y 1,0 t.ha</w:t>
      </w:r>
      <w:r w:rsidRPr="006C6A28">
        <w:rPr>
          <w:rFonts w:ascii="Times New Roman" w:hAnsi="Times New Roman" w:cs="Times New Roman"/>
          <w:sz w:val="24"/>
          <w:szCs w:val="24"/>
          <w:vertAlign w:val="superscript"/>
        </w:rPr>
        <w:t>-1</w:t>
      </w:r>
      <w:r w:rsidRPr="006C6A28">
        <w:rPr>
          <w:rFonts w:ascii="Times New Roman" w:hAnsi="Times New Roman" w:cs="Times New Roman"/>
          <w:sz w:val="24"/>
          <w:szCs w:val="24"/>
        </w:rPr>
        <w:t>, valor que se considera bajo respecto a la media a nivel mundial (</w:t>
      </w:r>
      <w:r w:rsidR="003C2455" w:rsidRPr="006C6A28">
        <w:rPr>
          <w:rFonts w:ascii="Times New Roman" w:hAnsi="Times New Roman" w:cs="Times New Roman"/>
          <w:sz w:val="24"/>
          <w:szCs w:val="24"/>
        </w:rPr>
        <w:t>FAO, 2018</w:t>
      </w:r>
      <w:r w:rsidRPr="006C6A28">
        <w:rPr>
          <w:rFonts w:ascii="Times New Roman" w:hAnsi="Times New Roman" w:cs="Times New Roman"/>
          <w:sz w:val="24"/>
          <w:szCs w:val="24"/>
        </w:rPr>
        <w:t>). Sin embargo, la producción nacional satisface solo el 3% de la demanda de consumo, por lo que es necesario importar alrededor de 110000 toneladas cada año (Faure, 2014).</w:t>
      </w:r>
      <w:r w:rsidR="00E43D9F">
        <w:rPr>
          <w:rFonts w:ascii="Times New Roman" w:hAnsi="Times New Roman" w:cs="Times New Roman"/>
          <w:sz w:val="24"/>
          <w:szCs w:val="24"/>
        </w:rPr>
        <w:t xml:space="preserve"> </w:t>
      </w:r>
      <w:r w:rsidRPr="006C6A28">
        <w:rPr>
          <w:rFonts w:ascii="Times New Roman" w:hAnsi="Times New Roman" w:cs="Times New Roman"/>
          <w:sz w:val="24"/>
          <w:szCs w:val="24"/>
        </w:rPr>
        <w:t>Muchos productores apenas alcanzan rendimientos promedios de 0,6 t.ha</w:t>
      </w:r>
      <w:r w:rsidRPr="006C6A28">
        <w:rPr>
          <w:rFonts w:ascii="Times New Roman" w:hAnsi="Times New Roman" w:cs="Times New Roman"/>
          <w:sz w:val="24"/>
          <w:szCs w:val="24"/>
          <w:vertAlign w:val="superscript"/>
        </w:rPr>
        <w:t>-1</w:t>
      </w:r>
      <w:r w:rsidR="00E43D9F">
        <w:rPr>
          <w:rFonts w:ascii="Times New Roman" w:hAnsi="Times New Roman" w:cs="Times New Roman"/>
          <w:sz w:val="24"/>
          <w:szCs w:val="24"/>
        </w:rPr>
        <w:t>, a</w:t>
      </w:r>
      <w:r w:rsidRPr="006C6A28">
        <w:rPr>
          <w:rFonts w:ascii="Times New Roman" w:hAnsi="Times New Roman" w:cs="Times New Roman"/>
          <w:sz w:val="24"/>
          <w:szCs w:val="24"/>
        </w:rPr>
        <w:t xml:space="preserve"> pesar de que otros con iguales recursos son capaces de lograr rendimi</w:t>
      </w:r>
      <w:r w:rsidR="008B6750" w:rsidRPr="006C6A28">
        <w:rPr>
          <w:rFonts w:ascii="Times New Roman" w:hAnsi="Times New Roman" w:cs="Times New Roman"/>
          <w:sz w:val="24"/>
          <w:szCs w:val="24"/>
        </w:rPr>
        <w:t xml:space="preserve">entos  por encima  de los 1,2 t </w:t>
      </w:r>
      <w:r w:rsidRPr="006C6A28">
        <w:rPr>
          <w:rFonts w:ascii="Times New Roman" w:hAnsi="Times New Roman" w:cs="Times New Roman"/>
          <w:sz w:val="24"/>
          <w:szCs w:val="24"/>
        </w:rPr>
        <w:t>ha</w:t>
      </w:r>
      <w:r w:rsidRPr="006C6A28">
        <w:rPr>
          <w:rFonts w:ascii="Times New Roman" w:hAnsi="Times New Roman" w:cs="Times New Roman"/>
          <w:sz w:val="24"/>
          <w:szCs w:val="24"/>
          <w:vertAlign w:val="superscript"/>
        </w:rPr>
        <w:t>-1</w:t>
      </w:r>
      <w:r w:rsidRPr="006C6A28">
        <w:rPr>
          <w:rFonts w:ascii="Times New Roman" w:hAnsi="Times New Roman" w:cs="Times New Roman"/>
          <w:sz w:val="24"/>
          <w:szCs w:val="24"/>
        </w:rPr>
        <w:t>, dentro de las causas que provocan los bajos  rendimientos está el déficit nutricional, p</w:t>
      </w:r>
      <w:r w:rsidR="003C2455" w:rsidRPr="006C6A28">
        <w:rPr>
          <w:rFonts w:ascii="Times New Roman" w:hAnsi="Times New Roman" w:cs="Times New Roman"/>
          <w:sz w:val="24"/>
          <w:szCs w:val="24"/>
        </w:rPr>
        <w:t>or falta de fuentes de minerales que los aporten</w:t>
      </w:r>
      <w:r w:rsidRPr="006C6A28">
        <w:rPr>
          <w:rFonts w:ascii="Times New Roman" w:hAnsi="Times New Roman" w:cs="Times New Roman"/>
          <w:sz w:val="24"/>
          <w:szCs w:val="24"/>
        </w:rPr>
        <w:t xml:space="preserve"> y no aplicar estimulantes que favorezcan esta imprescindible función biológica. Se hace necesaria la búsqueda de nuevas tecnologías para la obten</w:t>
      </w:r>
      <w:r w:rsidR="003C2455" w:rsidRPr="006C6A28">
        <w:rPr>
          <w:rFonts w:ascii="Times New Roman" w:hAnsi="Times New Roman" w:cs="Times New Roman"/>
          <w:sz w:val="24"/>
          <w:szCs w:val="24"/>
        </w:rPr>
        <w:t>ción de rendimientos superiores</w:t>
      </w:r>
      <w:r w:rsidRPr="006C6A28">
        <w:rPr>
          <w:rFonts w:ascii="Times New Roman" w:hAnsi="Times New Roman" w:cs="Times New Roman"/>
          <w:sz w:val="24"/>
          <w:szCs w:val="24"/>
        </w:rPr>
        <w:t xml:space="preserve"> sin la utilización de fertilizantes minerales, ya que económicamente resultan costosos y su uso excesivo y continuo afecta los suelos y el medio ambiente (Mosqueda </w:t>
      </w:r>
      <w:r w:rsidRPr="006C6A28">
        <w:rPr>
          <w:rFonts w:ascii="Times New Roman" w:hAnsi="Times New Roman" w:cs="Times New Roman"/>
          <w:i/>
          <w:sz w:val="24"/>
          <w:szCs w:val="24"/>
        </w:rPr>
        <w:t>et al.,</w:t>
      </w:r>
      <w:r w:rsidRPr="006C6A28">
        <w:rPr>
          <w:rFonts w:ascii="Times New Roman" w:hAnsi="Times New Roman" w:cs="Times New Roman"/>
          <w:sz w:val="24"/>
          <w:szCs w:val="24"/>
        </w:rPr>
        <w:t xml:space="preserve"> 2018), el manejo adecuado de la nutrición de las plantas,  constituye un elemento esencial  para obtener una alta productividad y calidad en la producción agrícola; así como, la aplicación indiscriminada de productos químicos puede ocasionar perjuicios al medio ambiente y causar daños a la salud humana (Ramos, </w:t>
      </w:r>
      <w:r w:rsidRPr="006C6A28">
        <w:rPr>
          <w:rFonts w:ascii="Times New Roman" w:hAnsi="Times New Roman" w:cs="Times New Roman"/>
          <w:i/>
          <w:sz w:val="24"/>
          <w:szCs w:val="24"/>
        </w:rPr>
        <w:t>et al., 2017</w:t>
      </w:r>
      <w:r w:rsidRPr="006C6A28">
        <w:rPr>
          <w:rFonts w:ascii="Times New Roman" w:hAnsi="Times New Roman" w:cs="Times New Roman"/>
          <w:sz w:val="24"/>
          <w:szCs w:val="24"/>
        </w:rPr>
        <w:t>).</w:t>
      </w:r>
    </w:p>
    <w:p w14:paraId="03F474B1" w14:textId="27059FD4" w:rsidR="006D45E7" w:rsidRPr="006C6A28" w:rsidRDefault="006B3253" w:rsidP="0040344E">
      <w:pPr>
        <w:spacing w:after="120" w:line="360" w:lineRule="auto"/>
        <w:jc w:val="both"/>
        <w:rPr>
          <w:rFonts w:ascii="Times New Roman" w:hAnsi="Times New Roman" w:cs="Times New Roman"/>
          <w:color w:val="000000" w:themeColor="text1"/>
          <w:sz w:val="24"/>
          <w:szCs w:val="24"/>
        </w:rPr>
      </w:pPr>
      <w:r w:rsidRPr="006C6A28">
        <w:rPr>
          <w:rFonts w:ascii="Times New Roman" w:hAnsi="Times New Roman" w:cs="Times New Roman"/>
          <w:color w:val="000000" w:themeColor="text1"/>
          <w:sz w:val="24"/>
          <w:szCs w:val="24"/>
        </w:rPr>
        <w:t>Entre los productos estudiados, se destaca el polisacárido de quitosana,</w:t>
      </w:r>
      <w:r w:rsidR="008B6750" w:rsidRPr="006C6A28">
        <w:rPr>
          <w:rFonts w:ascii="Times New Roman" w:hAnsi="Times New Roman" w:cs="Times New Roman"/>
          <w:color w:val="000000" w:themeColor="text1"/>
          <w:sz w:val="24"/>
          <w:szCs w:val="24"/>
        </w:rPr>
        <w:t xml:space="preserve"> (principio activo del </w:t>
      </w:r>
      <w:r w:rsidR="008B6750" w:rsidRPr="006C6A28">
        <w:rPr>
          <w:rFonts w:ascii="Times New Roman" w:hAnsi="Times New Roman" w:cs="Times New Roman"/>
          <w:sz w:val="24"/>
          <w:szCs w:val="24"/>
        </w:rPr>
        <w:t>QuitoMax®)</w:t>
      </w:r>
      <w:r w:rsidRPr="006C6A28">
        <w:rPr>
          <w:rFonts w:ascii="Times New Roman" w:hAnsi="Times New Roman" w:cs="Times New Roman"/>
          <w:color w:val="000000" w:themeColor="text1"/>
          <w:sz w:val="24"/>
          <w:szCs w:val="24"/>
        </w:rPr>
        <w:t xml:space="preserve"> que ha sido obtenido comercialmente a partir de la quitina, destacándose por su biocompatibildad, biodegradabilidad, baja toxicidad, alta bioactividad y actividad microbiana (Falcón </w:t>
      </w:r>
      <w:r w:rsidRPr="006C6A28">
        <w:rPr>
          <w:rFonts w:ascii="Times New Roman" w:hAnsi="Times New Roman" w:cs="Times New Roman"/>
          <w:i/>
          <w:color w:val="000000" w:themeColor="text1"/>
          <w:sz w:val="24"/>
          <w:szCs w:val="24"/>
        </w:rPr>
        <w:t>et al., 2017</w:t>
      </w:r>
      <w:r w:rsidRPr="006C6A28">
        <w:rPr>
          <w:rFonts w:ascii="Times New Roman" w:hAnsi="Times New Roman" w:cs="Times New Roman"/>
          <w:color w:val="000000" w:themeColor="text1"/>
          <w:sz w:val="24"/>
          <w:szCs w:val="24"/>
        </w:rPr>
        <w:t xml:space="preserve">), así como, también se ha encontrado una estimulación del crecimiento, el desarrollo y los rendimientos en cultivos de interés (Sheikha </w:t>
      </w:r>
      <w:r w:rsidRPr="006C6A28">
        <w:rPr>
          <w:rFonts w:ascii="Times New Roman" w:hAnsi="Times New Roman" w:cs="Times New Roman"/>
          <w:i/>
          <w:color w:val="000000" w:themeColor="text1"/>
          <w:sz w:val="24"/>
          <w:szCs w:val="24"/>
        </w:rPr>
        <w:t>et al., 2017)</w:t>
      </w:r>
      <w:r w:rsidRPr="006C6A28">
        <w:rPr>
          <w:rFonts w:ascii="Times New Roman" w:hAnsi="Times New Roman" w:cs="Times New Roman"/>
          <w:color w:val="000000" w:themeColor="text1"/>
          <w:sz w:val="24"/>
          <w:szCs w:val="24"/>
        </w:rPr>
        <w:t xml:space="preserve">. </w:t>
      </w:r>
      <w:r w:rsidR="006D45E7" w:rsidRPr="006C6A28">
        <w:rPr>
          <w:rFonts w:ascii="Times New Roman" w:hAnsi="Times New Roman" w:cs="Times New Roman"/>
          <w:color w:val="000000" w:themeColor="text1"/>
          <w:sz w:val="24"/>
          <w:szCs w:val="24"/>
        </w:rPr>
        <w:t>S</w:t>
      </w:r>
      <w:r w:rsidRPr="006C6A28">
        <w:rPr>
          <w:rFonts w:ascii="Times New Roman" w:hAnsi="Times New Roman" w:cs="Times New Roman"/>
          <w:color w:val="000000" w:themeColor="text1"/>
          <w:sz w:val="24"/>
          <w:szCs w:val="24"/>
        </w:rPr>
        <w:t xml:space="preserve">e ha demostrado la presencia de cierre estomático en plantas asperjadas con quitosano, lo que sugiere que el efecto estimulante del crecimiento luego del cierre estomático podría estar relacionado con un efecto antitranspirante en la planta (Bittelli </w:t>
      </w:r>
      <w:r w:rsidRPr="006C6A28">
        <w:rPr>
          <w:rFonts w:ascii="Times New Roman" w:hAnsi="Times New Roman" w:cs="Times New Roman"/>
          <w:i/>
          <w:color w:val="000000" w:themeColor="text1"/>
          <w:sz w:val="24"/>
          <w:szCs w:val="24"/>
        </w:rPr>
        <w:t>et al., 2017</w:t>
      </w:r>
      <w:r w:rsidRPr="006C6A28">
        <w:rPr>
          <w:rFonts w:ascii="Times New Roman" w:hAnsi="Times New Roman" w:cs="Times New Roman"/>
          <w:color w:val="000000" w:themeColor="text1"/>
          <w:sz w:val="24"/>
          <w:szCs w:val="24"/>
        </w:rPr>
        <w:t>).</w:t>
      </w:r>
    </w:p>
    <w:p w14:paraId="542D64BE" w14:textId="61311C28" w:rsidR="006B3253" w:rsidRPr="006C6A28" w:rsidRDefault="006B3253" w:rsidP="0040344E">
      <w:pPr>
        <w:spacing w:after="120" w:line="360" w:lineRule="auto"/>
        <w:jc w:val="both"/>
        <w:rPr>
          <w:rFonts w:ascii="Times New Roman" w:hAnsi="Times New Roman" w:cs="Times New Roman"/>
          <w:color w:val="000000" w:themeColor="text1"/>
          <w:sz w:val="24"/>
          <w:szCs w:val="24"/>
        </w:rPr>
      </w:pPr>
      <w:r w:rsidRPr="006C6A28">
        <w:rPr>
          <w:rFonts w:ascii="Times New Roman" w:hAnsi="Times New Roman" w:cs="Times New Roman"/>
          <w:color w:val="000000" w:themeColor="text1"/>
          <w:sz w:val="24"/>
          <w:szCs w:val="24"/>
        </w:rPr>
        <w:lastRenderedPageBreak/>
        <w:t xml:space="preserve">El </w:t>
      </w:r>
      <w:r w:rsidR="003B126C" w:rsidRPr="006C6A28">
        <w:rPr>
          <w:rFonts w:ascii="Times New Roman" w:hAnsi="Times New Roman" w:cs="Times New Roman"/>
          <w:color w:val="000000" w:themeColor="text1"/>
          <w:sz w:val="24"/>
          <w:szCs w:val="24"/>
        </w:rPr>
        <w:t>Azofert-F</w:t>
      </w:r>
      <w:r w:rsidR="00055B5B" w:rsidRPr="006C6A28">
        <w:rPr>
          <w:rFonts w:ascii="Times New Roman" w:hAnsi="Times New Roman" w:cs="Times New Roman"/>
          <w:bCs/>
          <w:sz w:val="24"/>
          <w:szCs w:val="24"/>
        </w:rPr>
        <w:t>®</w:t>
      </w:r>
      <w:r w:rsidRPr="006C6A28">
        <w:rPr>
          <w:rFonts w:ascii="Times New Roman" w:hAnsi="Times New Roman" w:cs="Times New Roman"/>
          <w:color w:val="000000" w:themeColor="text1"/>
          <w:sz w:val="24"/>
          <w:szCs w:val="24"/>
        </w:rPr>
        <w:t xml:space="preserve"> es un inoculante a base de bacterias del género Rhizobium, capaz de asociarse con las plantas leguminosas y formar nódulos en sus raíces, dentro de los cuales fijan el nitrógeno del aire y lo brindan directamente a la planta, por lo que se reduce de esta forma el uso de este nutriente mediante formulaciones químicas, este producto es obtenido y comercializado por el I</w:t>
      </w:r>
      <w:r w:rsidR="00101295" w:rsidRPr="006C6A28">
        <w:rPr>
          <w:rFonts w:ascii="Times New Roman" w:hAnsi="Times New Roman" w:cs="Times New Roman"/>
          <w:color w:val="000000" w:themeColor="text1"/>
          <w:sz w:val="24"/>
          <w:szCs w:val="24"/>
        </w:rPr>
        <w:t xml:space="preserve">nstituto </w:t>
      </w:r>
      <w:r w:rsidRPr="006C6A28">
        <w:rPr>
          <w:rFonts w:ascii="Times New Roman" w:hAnsi="Times New Roman" w:cs="Times New Roman"/>
          <w:color w:val="000000" w:themeColor="text1"/>
          <w:sz w:val="24"/>
          <w:szCs w:val="24"/>
        </w:rPr>
        <w:t>N</w:t>
      </w:r>
      <w:r w:rsidR="00101295" w:rsidRPr="006C6A28">
        <w:rPr>
          <w:rFonts w:ascii="Times New Roman" w:hAnsi="Times New Roman" w:cs="Times New Roman"/>
          <w:color w:val="000000" w:themeColor="text1"/>
          <w:sz w:val="24"/>
          <w:szCs w:val="24"/>
        </w:rPr>
        <w:t xml:space="preserve">acional de </w:t>
      </w:r>
      <w:r w:rsidRPr="006C6A28">
        <w:rPr>
          <w:rFonts w:ascii="Times New Roman" w:hAnsi="Times New Roman" w:cs="Times New Roman"/>
          <w:color w:val="000000" w:themeColor="text1"/>
          <w:sz w:val="24"/>
          <w:szCs w:val="24"/>
        </w:rPr>
        <w:t>C</w:t>
      </w:r>
      <w:r w:rsidR="00101295" w:rsidRPr="006C6A28">
        <w:rPr>
          <w:rFonts w:ascii="Times New Roman" w:hAnsi="Times New Roman" w:cs="Times New Roman"/>
          <w:color w:val="000000" w:themeColor="text1"/>
          <w:sz w:val="24"/>
          <w:szCs w:val="24"/>
        </w:rPr>
        <w:t xml:space="preserve">iencias </w:t>
      </w:r>
      <w:r w:rsidRPr="006C6A28">
        <w:rPr>
          <w:rFonts w:ascii="Times New Roman" w:hAnsi="Times New Roman" w:cs="Times New Roman"/>
          <w:color w:val="000000" w:themeColor="text1"/>
          <w:sz w:val="24"/>
          <w:szCs w:val="24"/>
        </w:rPr>
        <w:t>A</w:t>
      </w:r>
      <w:r w:rsidR="00101295" w:rsidRPr="006C6A28">
        <w:rPr>
          <w:rFonts w:ascii="Times New Roman" w:hAnsi="Times New Roman" w:cs="Times New Roman"/>
          <w:color w:val="000000" w:themeColor="text1"/>
          <w:sz w:val="24"/>
          <w:szCs w:val="24"/>
        </w:rPr>
        <w:t>grícolas</w:t>
      </w:r>
      <w:r w:rsidRPr="006C6A28">
        <w:rPr>
          <w:rFonts w:ascii="Times New Roman" w:hAnsi="Times New Roman" w:cs="Times New Roman"/>
          <w:color w:val="000000" w:themeColor="text1"/>
          <w:sz w:val="24"/>
          <w:szCs w:val="24"/>
        </w:rPr>
        <w:t xml:space="preserve"> y está autorizado su uso en Cuba por encontrarse registrado desde el 2013 (Nápoles </w:t>
      </w:r>
      <w:r w:rsidRPr="006C6A28">
        <w:rPr>
          <w:rFonts w:ascii="Times New Roman" w:hAnsi="Times New Roman" w:cs="Times New Roman"/>
          <w:i/>
          <w:color w:val="000000" w:themeColor="text1"/>
          <w:sz w:val="24"/>
          <w:szCs w:val="24"/>
        </w:rPr>
        <w:t>et al</w:t>
      </w:r>
      <w:r w:rsidRPr="006C6A28">
        <w:rPr>
          <w:rFonts w:ascii="Times New Roman" w:hAnsi="Times New Roman" w:cs="Times New Roman"/>
          <w:color w:val="000000" w:themeColor="text1"/>
          <w:sz w:val="24"/>
          <w:szCs w:val="24"/>
        </w:rPr>
        <w:t>, 2016)</w:t>
      </w:r>
      <w:r w:rsidR="00281EB0">
        <w:rPr>
          <w:rFonts w:ascii="Times New Roman" w:hAnsi="Times New Roman" w:cs="Times New Roman"/>
          <w:color w:val="000000" w:themeColor="text1"/>
          <w:sz w:val="24"/>
          <w:szCs w:val="24"/>
        </w:rPr>
        <w:t>, s</w:t>
      </w:r>
      <w:r w:rsidRPr="006C6A28">
        <w:rPr>
          <w:rFonts w:ascii="Times New Roman" w:hAnsi="Times New Roman" w:cs="Times New Roman"/>
          <w:color w:val="000000" w:themeColor="text1"/>
          <w:sz w:val="24"/>
          <w:szCs w:val="24"/>
        </w:rPr>
        <w:t>iendo un inoculante</w:t>
      </w:r>
      <w:r w:rsidR="00281EB0">
        <w:rPr>
          <w:rFonts w:ascii="Times New Roman" w:hAnsi="Times New Roman" w:cs="Times New Roman"/>
          <w:color w:val="000000" w:themeColor="text1"/>
          <w:sz w:val="24"/>
          <w:szCs w:val="24"/>
        </w:rPr>
        <w:t xml:space="preserve">, a diferencia de otros inocultantes de su tipo, </w:t>
      </w:r>
      <w:r w:rsidRPr="006C6A28">
        <w:rPr>
          <w:rFonts w:ascii="Times New Roman" w:hAnsi="Times New Roman" w:cs="Times New Roman"/>
          <w:color w:val="000000" w:themeColor="text1"/>
          <w:sz w:val="24"/>
          <w:szCs w:val="24"/>
        </w:rPr>
        <w:t>tiene la particularidad</w:t>
      </w:r>
      <w:r w:rsidR="00281EB0">
        <w:rPr>
          <w:rFonts w:ascii="Times New Roman" w:hAnsi="Times New Roman" w:cs="Times New Roman"/>
          <w:color w:val="000000" w:themeColor="text1"/>
          <w:sz w:val="24"/>
          <w:szCs w:val="24"/>
        </w:rPr>
        <w:t xml:space="preserve"> de</w:t>
      </w:r>
      <w:r w:rsidRPr="006C6A28">
        <w:rPr>
          <w:rFonts w:ascii="Times New Roman" w:hAnsi="Times New Roman" w:cs="Times New Roman"/>
          <w:color w:val="000000" w:themeColor="text1"/>
          <w:sz w:val="24"/>
          <w:szCs w:val="24"/>
        </w:rPr>
        <w:t xml:space="preserve"> contene</w:t>
      </w:r>
      <w:r w:rsidR="00281EB0">
        <w:rPr>
          <w:rFonts w:ascii="Times New Roman" w:hAnsi="Times New Roman" w:cs="Times New Roman"/>
          <w:color w:val="000000" w:themeColor="text1"/>
          <w:sz w:val="24"/>
          <w:szCs w:val="24"/>
        </w:rPr>
        <w:t>r</w:t>
      </w:r>
      <w:r w:rsidRPr="006C6A28">
        <w:rPr>
          <w:rFonts w:ascii="Times New Roman" w:hAnsi="Times New Roman" w:cs="Times New Roman"/>
          <w:color w:val="000000" w:themeColor="text1"/>
          <w:sz w:val="24"/>
          <w:szCs w:val="24"/>
        </w:rPr>
        <w:t xml:space="preserve"> altas concentraciones de factores de nodulación (oligómeros de lipoquitinas), determinantes en el éxito de esta simbiosis.</w:t>
      </w:r>
    </w:p>
    <w:p w14:paraId="6C7EC0EF" w14:textId="77777777" w:rsidR="006B3253" w:rsidRPr="006C6A28" w:rsidRDefault="000C2DE2" w:rsidP="0040344E">
      <w:pPr>
        <w:spacing w:after="120" w:line="360" w:lineRule="auto"/>
        <w:jc w:val="both"/>
        <w:rPr>
          <w:rFonts w:ascii="Times New Roman" w:hAnsi="Times New Roman" w:cs="Times New Roman"/>
          <w:sz w:val="24"/>
          <w:szCs w:val="24"/>
        </w:rPr>
      </w:pPr>
      <w:r w:rsidRPr="006C6A28">
        <w:rPr>
          <w:rFonts w:ascii="Times New Roman" w:hAnsi="Times New Roman" w:cs="Times New Roman"/>
          <w:bCs/>
          <w:sz w:val="24"/>
          <w:szCs w:val="24"/>
          <w:lang w:val="es-ES_tradnl"/>
        </w:rPr>
        <w:t>El objetivo g</w:t>
      </w:r>
      <w:r w:rsidR="006B3253" w:rsidRPr="006C6A28">
        <w:rPr>
          <w:rFonts w:ascii="Times New Roman" w:hAnsi="Times New Roman" w:cs="Times New Roman"/>
          <w:bCs/>
          <w:sz w:val="24"/>
          <w:szCs w:val="24"/>
          <w:lang w:val="es-ES_tradnl"/>
        </w:rPr>
        <w:t>eneral</w:t>
      </w:r>
      <w:r w:rsidRPr="006C6A28">
        <w:rPr>
          <w:rFonts w:ascii="Times New Roman" w:hAnsi="Times New Roman" w:cs="Times New Roman"/>
          <w:bCs/>
          <w:sz w:val="24"/>
          <w:szCs w:val="24"/>
          <w:lang w:val="es-ES_tradnl"/>
        </w:rPr>
        <w:t xml:space="preserve"> establecido fue el de </w:t>
      </w:r>
      <w:r w:rsidR="006B3253" w:rsidRPr="006C6A28">
        <w:rPr>
          <w:rFonts w:ascii="Times New Roman" w:hAnsi="Times New Roman" w:cs="Times New Roman"/>
          <w:sz w:val="24"/>
          <w:szCs w:val="24"/>
        </w:rPr>
        <w:t>Evaluar el efecto de dos bioinsumos, QuitoMax</w:t>
      </w:r>
      <w:r w:rsidR="006B3253" w:rsidRPr="006C6A28">
        <w:rPr>
          <w:rFonts w:ascii="Times New Roman" w:hAnsi="Times New Roman" w:cs="Times New Roman"/>
          <w:bCs/>
          <w:sz w:val="24"/>
          <w:szCs w:val="24"/>
        </w:rPr>
        <w:t xml:space="preserve">® </w:t>
      </w:r>
      <w:r w:rsidR="00963EE5" w:rsidRPr="006C6A28">
        <w:rPr>
          <w:rFonts w:ascii="Times New Roman" w:hAnsi="Times New Roman" w:cs="Times New Roman"/>
          <w:sz w:val="24"/>
          <w:szCs w:val="24"/>
        </w:rPr>
        <w:t xml:space="preserve">y </w:t>
      </w:r>
      <w:r w:rsidR="003B126C" w:rsidRPr="006C6A28">
        <w:rPr>
          <w:rFonts w:ascii="Times New Roman" w:hAnsi="Times New Roman" w:cs="Times New Roman"/>
          <w:sz w:val="24"/>
          <w:szCs w:val="24"/>
        </w:rPr>
        <w:t>Azofert-F</w:t>
      </w:r>
      <w:r w:rsidR="007B0570" w:rsidRPr="006C6A28">
        <w:rPr>
          <w:rFonts w:ascii="Times New Roman" w:hAnsi="Times New Roman" w:cs="Times New Roman"/>
          <w:bCs/>
          <w:sz w:val="24"/>
          <w:szCs w:val="24"/>
        </w:rPr>
        <w:t xml:space="preserve">® </w:t>
      </w:r>
      <w:r w:rsidR="00963EE5" w:rsidRPr="006C6A28">
        <w:rPr>
          <w:rFonts w:ascii="Times New Roman" w:hAnsi="Times New Roman" w:cs="Times New Roman"/>
          <w:sz w:val="24"/>
          <w:szCs w:val="24"/>
        </w:rPr>
        <w:t xml:space="preserve"> </w:t>
      </w:r>
      <w:r w:rsidR="006B3253" w:rsidRPr="006C6A28">
        <w:rPr>
          <w:rFonts w:ascii="Times New Roman" w:hAnsi="Times New Roman" w:cs="Times New Roman"/>
          <w:sz w:val="24"/>
          <w:szCs w:val="24"/>
        </w:rPr>
        <w:t xml:space="preserve">en el cultivo del frijol común, </w:t>
      </w:r>
      <w:r w:rsidR="006B3253" w:rsidRPr="006C6A28">
        <w:rPr>
          <w:rFonts w:ascii="Times New Roman" w:hAnsi="Times New Roman" w:cs="Times New Roman"/>
          <w:sz w:val="24"/>
          <w:szCs w:val="24"/>
          <w:lang w:val="es-ES_tradnl"/>
        </w:rPr>
        <w:t xml:space="preserve">variedad </w:t>
      </w:r>
      <w:r w:rsidR="006B3253" w:rsidRPr="006C6A28">
        <w:rPr>
          <w:rFonts w:ascii="Times New Roman" w:hAnsi="Times New Roman" w:cs="Times New Roman"/>
          <w:sz w:val="24"/>
          <w:szCs w:val="24"/>
        </w:rPr>
        <w:t>“Velazco largo”</w:t>
      </w:r>
      <w:r w:rsidR="006B3253" w:rsidRPr="006C6A28">
        <w:rPr>
          <w:rFonts w:ascii="Times New Roman" w:hAnsi="Times New Roman" w:cs="Times New Roman"/>
          <w:sz w:val="24"/>
          <w:szCs w:val="24"/>
          <w:lang w:val="es-ES_tradnl"/>
        </w:rPr>
        <w:t>.</w:t>
      </w:r>
      <w:r w:rsidRPr="006C6A28">
        <w:rPr>
          <w:rFonts w:ascii="Times New Roman" w:hAnsi="Times New Roman" w:cs="Times New Roman"/>
          <w:sz w:val="24"/>
          <w:szCs w:val="24"/>
          <w:lang w:val="es-ES_tradnl"/>
        </w:rPr>
        <w:t xml:space="preserve"> </w:t>
      </w:r>
    </w:p>
    <w:p w14:paraId="55BC90F3" w14:textId="77777777" w:rsidR="00CF3E17" w:rsidRPr="006C6A28" w:rsidRDefault="00DA2DCF" w:rsidP="0040344E">
      <w:pPr>
        <w:spacing w:after="120" w:line="360" w:lineRule="auto"/>
        <w:jc w:val="both"/>
        <w:rPr>
          <w:rFonts w:ascii="Times New Roman" w:hAnsi="Times New Roman" w:cs="Times New Roman"/>
          <w:b/>
          <w:sz w:val="24"/>
          <w:szCs w:val="24"/>
        </w:rPr>
      </w:pPr>
      <w:r w:rsidRPr="006C6A28">
        <w:rPr>
          <w:rFonts w:ascii="Times New Roman" w:hAnsi="Times New Roman" w:cs="Times New Roman"/>
          <w:b/>
          <w:sz w:val="24"/>
          <w:szCs w:val="24"/>
        </w:rPr>
        <w:t>Materiales y métodos</w:t>
      </w:r>
    </w:p>
    <w:p w14:paraId="3E11AB7F" w14:textId="5A5BA849" w:rsidR="00CF3E17" w:rsidRPr="006C6A28" w:rsidRDefault="00CF3E17" w:rsidP="0040344E">
      <w:pPr>
        <w:spacing w:after="120" w:line="360" w:lineRule="auto"/>
        <w:jc w:val="both"/>
        <w:rPr>
          <w:rFonts w:ascii="Times New Roman" w:hAnsi="Times New Roman" w:cs="Times New Roman"/>
          <w:sz w:val="24"/>
          <w:szCs w:val="24"/>
        </w:rPr>
      </w:pPr>
      <w:r w:rsidRPr="006C6A28">
        <w:rPr>
          <w:rFonts w:ascii="Times New Roman" w:hAnsi="Times New Roman" w:cs="Times New Roman"/>
          <w:sz w:val="24"/>
          <w:szCs w:val="24"/>
        </w:rPr>
        <w:t>El experimento se desarro</w:t>
      </w:r>
      <w:r w:rsidR="00D11A10" w:rsidRPr="006C6A28">
        <w:rPr>
          <w:rFonts w:ascii="Times New Roman" w:hAnsi="Times New Roman" w:cs="Times New Roman"/>
          <w:sz w:val="24"/>
          <w:szCs w:val="24"/>
        </w:rPr>
        <w:t>lló en una parcela ubicada en la demarcación donde actúa el</w:t>
      </w:r>
      <w:r w:rsidRPr="006C6A28">
        <w:rPr>
          <w:rFonts w:ascii="Times New Roman" w:hAnsi="Times New Roman" w:cs="Times New Roman"/>
          <w:sz w:val="24"/>
          <w:szCs w:val="24"/>
        </w:rPr>
        <w:t xml:space="preserve"> Consejo Popular Frank País, </w:t>
      </w:r>
      <w:r w:rsidR="00D11A10" w:rsidRPr="006C6A28">
        <w:rPr>
          <w:rFonts w:ascii="Times New Roman" w:hAnsi="Times New Roman" w:cs="Times New Roman"/>
          <w:sz w:val="24"/>
          <w:szCs w:val="24"/>
        </w:rPr>
        <w:t xml:space="preserve">municipio </w:t>
      </w:r>
      <w:r w:rsidRPr="006C6A28">
        <w:rPr>
          <w:rFonts w:ascii="Times New Roman" w:hAnsi="Times New Roman" w:cs="Times New Roman"/>
          <w:sz w:val="24"/>
          <w:szCs w:val="24"/>
        </w:rPr>
        <w:t xml:space="preserve">Contramaestre, </w:t>
      </w:r>
      <w:r w:rsidR="00D11A10" w:rsidRPr="006C6A28">
        <w:rPr>
          <w:rFonts w:ascii="Times New Roman" w:hAnsi="Times New Roman" w:cs="Times New Roman"/>
          <w:sz w:val="24"/>
          <w:szCs w:val="24"/>
        </w:rPr>
        <w:t xml:space="preserve">provincia </w:t>
      </w:r>
      <w:r w:rsidRPr="006C6A28">
        <w:rPr>
          <w:rFonts w:ascii="Times New Roman" w:hAnsi="Times New Roman" w:cs="Times New Roman"/>
          <w:sz w:val="24"/>
          <w:szCs w:val="24"/>
        </w:rPr>
        <w:t>Santiago de Cuba</w:t>
      </w:r>
      <w:r w:rsidR="00D11A10" w:rsidRPr="006C6A28">
        <w:rPr>
          <w:rFonts w:ascii="Times New Roman" w:hAnsi="Times New Roman" w:cs="Times New Roman"/>
          <w:sz w:val="24"/>
          <w:szCs w:val="24"/>
        </w:rPr>
        <w:t>, Cuba perteneciente a</w:t>
      </w:r>
      <w:r w:rsidRPr="006C6A28">
        <w:rPr>
          <w:rFonts w:ascii="Times New Roman" w:hAnsi="Times New Roman" w:cs="Times New Roman"/>
          <w:sz w:val="24"/>
          <w:szCs w:val="24"/>
        </w:rPr>
        <w:t xml:space="preserve">l movimiento de agricultura urbana, suburbana y familiar, sobre un suelo pardo con carbonato (Hernández </w:t>
      </w:r>
      <w:r w:rsidRPr="006C6A28">
        <w:rPr>
          <w:rFonts w:ascii="Times New Roman" w:hAnsi="Times New Roman" w:cs="Times New Roman"/>
          <w:i/>
          <w:sz w:val="24"/>
          <w:szCs w:val="24"/>
        </w:rPr>
        <w:t>et al.,</w:t>
      </w:r>
      <w:r w:rsidRPr="006C6A28">
        <w:rPr>
          <w:rFonts w:ascii="Times New Roman" w:hAnsi="Times New Roman" w:cs="Times New Roman"/>
          <w:sz w:val="24"/>
          <w:szCs w:val="24"/>
        </w:rPr>
        <w:t xml:space="preserve"> 2015), cuyas características se muestran en la tabla</w:t>
      </w:r>
      <w:r w:rsidR="00F426EC">
        <w:rPr>
          <w:rFonts w:ascii="Times New Roman" w:hAnsi="Times New Roman" w:cs="Times New Roman"/>
          <w:sz w:val="24"/>
          <w:szCs w:val="24"/>
        </w:rPr>
        <w:t xml:space="preserve"> </w:t>
      </w:r>
      <w:r w:rsidRPr="006C6A28">
        <w:rPr>
          <w:rFonts w:ascii="Times New Roman" w:hAnsi="Times New Roman" w:cs="Times New Roman"/>
          <w:sz w:val="24"/>
          <w:szCs w:val="24"/>
        </w:rPr>
        <w:t xml:space="preserve">1. </w:t>
      </w:r>
    </w:p>
    <w:p w14:paraId="46ECEC38" w14:textId="3536B1E4" w:rsidR="00CF3E17" w:rsidRPr="006C6A28" w:rsidRDefault="00CF3E17" w:rsidP="0040344E">
      <w:pPr>
        <w:spacing w:after="120" w:line="360" w:lineRule="auto"/>
        <w:jc w:val="both"/>
        <w:rPr>
          <w:rFonts w:ascii="Times New Roman" w:hAnsi="Times New Roman" w:cs="Times New Roman"/>
          <w:sz w:val="24"/>
          <w:szCs w:val="24"/>
        </w:rPr>
      </w:pPr>
      <w:r w:rsidRPr="006C6A28">
        <w:rPr>
          <w:rFonts w:ascii="Times New Roman" w:hAnsi="Times New Roman" w:cs="Times New Roman"/>
          <w:sz w:val="24"/>
          <w:szCs w:val="24"/>
        </w:rPr>
        <w:t>Las variables climáticas fueron tomadas de la estación Agrometeorológica</w:t>
      </w:r>
      <w:r w:rsidR="003B126C" w:rsidRPr="006C6A28">
        <w:rPr>
          <w:rFonts w:ascii="Times New Roman" w:hAnsi="Times New Roman" w:cs="Times New Roman"/>
          <w:sz w:val="24"/>
          <w:szCs w:val="24"/>
        </w:rPr>
        <w:t xml:space="preserve"> </w:t>
      </w:r>
      <w:r w:rsidR="00D11A10" w:rsidRPr="006C6A28">
        <w:rPr>
          <w:rFonts w:ascii="Times New Roman" w:hAnsi="Times New Roman" w:cs="Times New Roman"/>
          <w:sz w:val="24"/>
          <w:szCs w:val="24"/>
        </w:rPr>
        <w:t>de</w:t>
      </w:r>
      <w:r w:rsidR="003B126C" w:rsidRPr="006C6A28">
        <w:rPr>
          <w:rFonts w:ascii="Times New Roman" w:hAnsi="Times New Roman" w:cs="Times New Roman"/>
          <w:sz w:val="24"/>
          <w:szCs w:val="24"/>
        </w:rPr>
        <w:t>l</w:t>
      </w:r>
      <w:r w:rsidR="00D11A10" w:rsidRPr="006C6A28">
        <w:rPr>
          <w:rFonts w:ascii="Times New Roman" w:hAnsi="Times New Roman" w:cs="Times New Roman"/>
          <w:sz w:val="24"/>
          <w:szCs w:val="24"/>
        </w:rPr>
        <w:t xml:space="preserve"> municipio </w:t>
      </w:r>
      <w:r w:rsidRPr="006C6A28">
        <w:rPr>
          <w:rFonts w:ascii="Times New Roman" w:hAnsi="Times New Roman" w:cs="Times New Roman"/>
          <w:sz w:val="24"/>
          <w:szCs w:val="24"/>
        </w:rPr>
        <w:t xml:space="preserve">Contramaestre, </w:t>
      </w:r>
      <w:r w:rsidR="00D11A10" w:rsidRPr="006C6A28">
        <w:rPr>
          <w:rFonts w:ascii="Times New Roman" w:hAnsi="Times New Roman" w:cs="Times New Roman"/>
          <w:sz w:val="24"/>
          <w:szCs w:val="24"/>
        </w:rPr>
        <w:t xml:space="preserve">provincia Santiago de Cuba, se tomó el comportamiento de las siguientes variables meteorológicas, </w:t>
      </w:r>
      <w:r w:rsidRPr="006C6A28">
        <w:rPr>
          <w:rFonts w:ascii="Times New Roman" w:hAnsi="Times New Roman" w:cs="Times New Roman"/>
          <w:sz w:val="24"/>
          <w:szCs w:val="24"/>
        </w:rPr>
        <w:t xml:space="preserve">temperatura promedio (24-26 </w:t>
      </w:r>
      <w:r w:rsidRPr="006C6A28">
        <w:rPr>
          <w:rFonts w:ascii="Times New Roman" w:hAnsi="Times New Roman" w:cs="Times New Roman"/>
          <w:sz w:val="24"/>
          <w:szCs w:val="24"/>
          <w:vertAlign w:val="superscript"/>
        </w:rPr>
        <w:t>0</w:t>
      </w:r>
      <w:r w:rsidRPr="006C6A28">
        <w:rPr>
          <w:rFonts w:ascii="Times New Roman" w:hAnsi="Times New Roman" w:cs="Times New Roman"/>
          <w:sz w:val="24"/>
          <w:szCs w:val="24"/>
        </w:rPr>
        <w:t>C) y las precipitaciones (150 mm), que fueron pocas</w:t>
      </w:r>
      <w:r w:rsidR="00F426EC">
        <w:rPr>
          <w:rFonts w:ascii="Times New Roman" w:hAnsi="Times New Roman" w:cs="Times New Roman"/>
          <w:sz w:val="24"/>
          <w:szCs w:val="24"/>
        </w:rPr>
        <w:t xml:space="preserve">, pero a pesar de ello, </w:t>
      </w:r>
      <w:r w:rsidRPr="006C6A28">
        <w:rPr>
          <w:rFonts w:ascii="Times New Roman" w:hAnsi="Times New Roman" w:cs="Times New Roman"/>
          <w:sz w:val="24"/>
          <w:szCs w:val="24"/>
        </w:rPr>
        <w:t xml:space="preserve">fueron suplidas por el riego adecuado. Como </w:t>
      </w:r>
      <w:r w:rsidR="00F426EC">
        <w:rPr>
          <w:rFonts w:ascii="Times New Roman" w:hAnsi="Times New Roman" w:cs="Times New Roman"/>
          <w:sz w:val="24"/>
          <w:szCs w:val="24"/>
        </w:rPr>
        <w:t>reflejan los datos climáticos, e</w:t>
      </w:r>
      <w:r w:rsidRPr="006C6A28">
        <w:rPr>
          <w:rFonts w:ascii="Times New Roman" w:hAnsi="Times New Roman" w:cs="Times New Roman"/>
          <w:sz w:val="24"/>
          <w:szCs w:val="24"/>
        </w:rPr>
        <w:t xml:space="preserve">ste periodo </w:t>
      </w:r>
      <w:r w:rsidR="00F426EC">
        <w:rPr>
          <w:rFonts w:ascii="Times New Roman" w:hAnsi="Times New Roman" w:cs="Times New Roman"/>
          <w:sz w:val="24"/>
          <w:szCs w:val="24"/>
        </w:rPr>
        <w:t>resulta favorable</w:t>
      </w:r>
      <w:r w:rsidRPr="006C6A28">
        <w:rPr>
          <w:rFonts w:ascii="Times New Roman" w:hAnsi="Times New Roman" w:cs="Times New Roman"/>
          <w:sz w:val="24"/>
          <w:szCs w:val="24"/>
        </w:rPr>
        <w:t xml:space="preserve"> para el cultivo del frijol común en el territorio, ya que se comporta como un</w:t>
      </w:r>
      <w:r w:rsidR="00F426EC">
        <w:rPr>
          <w:rFonts w:ascii="Times New Roman" w:hAnsi="Times New Roman" w:cs="Times New Roman"/>
          <w:sz w:val="24"/>
          <w:szCs w:val="24"/>
        </w:rPr>
        <w:t>a</w:t>
      </w:r>
      <w:r w:rsidRPr="006C6A28">
        <w:rPr>
          <w:rFonts w:ascii="Times New Roman" w:hAnsi="Times New Roman" w:cs="Times New Roman"/>
          <w:sz w:val="24"/>
          <w:szCs w:val="24"/>
        </w:rPr>
        <w:t xml:space="preserve"> </w:t>
      </w:r>
      <w:r w:rsidR="00F426EC">
        <w:rPr>
          <w:rFonts w:ascii="Times New Roman" w:hAnsi="Times New Roman" w:cs="Times New Roman"/>
          <w:sz w:val="24"/>
          <w:szCs w:val="24"/>
        </w:rPr>
        <w:t>etapa</w:t>
      </w:r>
      <w:r w:rsidRPr="006C6A28">
        <w:rPr>
          <w:rFonts w:ascii="Times New Roman" w:hAnsi="Times New Roman" w:cs="Times New Roman"/>
          <w:sz w:val="24"/>
          <w:szCs w:val="24"/>
        </w:rPr>
        <w:t xml:space="preserve"> de excelente temperatura para el cultivo, de acuerdo a las exigencias climáticas del mismo.</w:t>
      </w:r>
    </w:p>
    <w:p w14:paraId="0A2F0C52" w14:textId="2D2F20A9" w:rsidR="00CF3E17" w:rsidRPr="006C6A28" w:rsidRDefault="00CF3E17" w:rsidP="0040344E">
      <w:pPr>
        <w:spacing w:after="120" w:line="360" w:lineRule="auto"/>
        <w:jc w:val="both"/>
        <w:rPr>
          <w:rFonts w:ascii="Times New Roman" w:hAnsi="Times New Roman" w:cs="Times New Roman"/>
          <w:sz w:val="24"/>
          <w:szCs w:val="24"/>
        </w:rPr>
      </w:pPr>
      <w:r w:rsidRPr="006C6A28">
        <w:rPr>
          <w:rFonts w:ascii="Times New Roman" w:hAnsi="Times New Roman" w:cs="Times New Roman"/>
          <w:sz w:val="24"/>
          <w:szCs w:val="24"/>
        </w:rPr>
        <w:t xml:space="preserve">Se empleó el diseño de bloques al azar con cuatro repeticiones e igual número de tratamientos. El análisis estadístico utilizado fue el análisis de varianza de clasificación </w:t>
      </w:r>
      <w:r w:rsidR="00F75287" w:rsidRPr="006C6A28">
        <w:rPr>
          <w:rFonts w:ascii="Times New Roman" w:hAnsi="Times New Roman" w:cs="Times New Roman"/>
          <w:sz w:val="24"/>
          <w:szCs w:val="24"/>
        </w:rPr>
        <w:t xml:space="preserve">doble </w:t>
      </w:r>
      <w:r w:rsidRPr="006C6A28">
        <w:rPr>
          <w:rFonts w:ascii="Times New Roman" w:hAnsi="Times New Roman" w:cs="Times New Roman"/>
          <w:sz w:val="24"/>
          <w:szCs w:val="24"/>
        </w:rPr>
        <w:t>y cuando existi</w:t>
      </w:r>
      <w:r w:rsidR="00F426EC">
        <w:rPr>
          <w:rFonts w:ascii="Times New Roman" w:hAnsi="Times New Roman" w:cs="Times New Roman"/>
          <w:sz w:val="24"/>
          <w:szCs w:val="24"/>
        </w:rPr>
        <w:t>eron</w:t>
      </w:r>
      <w:r w:rsidRPr="006C6A28">
        <w:rPr>
          <w:rFonts w:ascii="Times New Roman" w:hAnsi="Times New Roman" w:cs="Times New Roman"/>
          <w:sz w:val="24"/>
          <w:szCs w:val="24"/>
        </w:rPr>
        <w:t xml:space="preserve"> diferencias significativas entre los tratamientos se aplicó una prueba de comparación múltiple de media por Duncan para un nivel de significación del 5 % de probabilidad del error.</w:t>
      </w:r>
      <w:r w:rsidR="00C33BEC">
        <w:rPr>
          <w:rFonts w:ascii="Times New Roman" w:hAnsi="Times New Roman" w:cs="Times New Roman"/>
          <w:sz w:val="24"/>
          <w:szCs w:val="24"/>
        </w:rPr>
        <w:t xml:space="preserve"> </w:t>
      </w:r>
      <w:r w:rsidR="00C33BEC" w:rsidRPr="006C6A28">
        <w:rPr>
          <w:rFonts w:ascii="Times New Roman" w:hAnsi="Times New Roman" w:cs="Times New Roman"/>
          <w:sz w:val="24"/>
          <w:szCs w:val="24"/>
        </w:rPr>
        <w:t>Se utilizó el paquete estadístico STATATIC versión 10.</w:t>
      </w:r>
    </w:p>
    <w:p w14:paraId="49F84F73" w14:textId="31E47DBC" w:rsidR="00CF3E17" w:rsidRPr="006C6A28" w:rsidRDefault="00CF3E17" w:rsidP="0040344E">
      <w:pPr>
        <w:spacing w:after="120" w:line="360" w:lineRule="auto"/>
        <w:jc w:val="both"/>
        <w:rPr>
          <w:rFonts w:ascii="Times New Roman" w:hAnsi="Times New Roman" w:cs="Times New Roman"/>
          <w:sz w:val="24"/>
          <w:szCs w:val="24"/>
        </w:rPr>
      </w:pPr>
      <w:r w:rsidRPr="006C6A28">
        <w:rPr>
          <w:rFonts w:ascii="Times New Roman" w:hAnsi="Times New Roman" w:cs="Times New Roman"/>
          <w:sz w:val="24"/>
          <w:szCs w:val="24"/>
        </w:rPr>
        <w:t>El área experimental fue 79.8 m</w:t>
      </w:r>
      <w:r w:rsidRPr="006C6A28">
        <w:rPr>
          <w:rFonts w:ascii="Times New Roman" w:hAnsi="Times New Roman" w:cs="Times New Roman"/>
          <w:sz w:val="24"/>
          <w:szCs w:val="24"/>
          <w:vertAlign w:val="superscript"/>
        </w:rPr>
        <w:t>2</w:t>
      </w:r>
      <w:r w:rsidRPr="006C6A28">
        <w:rPr>
          <w:rFonts w:ascii="Times New Roman" w:hAnsi="Times New Roman" w:cs="Times New Roman"/>
          <w:sz w:val="24"/>
          <w:szCs w:val="24"/>
        </w:rPr>
        <w:t xml:space="preserve"> y la parcela de cada tratamiento ocupó un área de 2.10 m</w:t>
      </w:r>
      <w:r w:rsidRPr="006C6A28">
        <w:rPr>
          <w:rFonts w:ascii="Times New Roman" w:hAnsi="Times New Roman" w:cs="Times New Roman"/>
          <w:sz w:val="24"/>
          <w:szCs w:val="24"/>
          <w:vertAlign w:val="superscript"/>
        </w:rPr>
        <w:t>2</w:t>
      </w:r>
      <w:r w:rsidR="008B6750" w:rsidRPr="006C6A28">
        <w:rPr>
          <w:rFonts w:ascii="Times New Roman" w:hAnsi="Times New Roman" w:cs="Times New Roman"/>
          <w:sz w:val="24"/>
          <w:szCs w:val="24"/>
        </w:rPr>
        <w:t>, sembrándose tres hileras con treinta</w:t>
      </w:r>
      <w:r w:rsidRPr="006C6A28">
        <w:rPr>
          <w:rFonts w:ascii="Times New Roman" w:hAnsi="Times New Roman" w:cs="Times New Roman"/>
          <w:sz w:val="24"/>
          <w:szCs w:val="24"/>
        </w:rPr>
        <w:t xml:space="preserve"> plantas en cada una, de las parcelas, empleándose la variedad </w:t>
      </w:r>
      <w:r w:rsidRPr="006C6A28">
        <w:rPr>
          <w:rFonts w:ascii="Times New Roman" w:hAnsi="Times New Roman" w:cs="Times New Roman"/>
          <w:sz w:val="24"/>
          <w:szCs w:val="24"/>
        </w:rPr>
        <w:lastRenderedPageBreak/>
        <w:t xml:space="preserve">de frijol común </w:t>
      </w:r>
      <w:r w:rsidR="003B126C" w:rsidRPr="006C6A28">
        <w:rPr>
          <w:rFonts w:ascii="Times New Roman" w:hAnsi="Times New Roman" w:cs="Times New Roman"/>
          <w:sz w:val="24"/>
          <w:szCs w:val="24"/>
        </w:rPr>
        <w:t>var.</w:t>
      </w:r>
      <w:r w:rsidRPr="006C6A28">
        <w:rPr>
          <w:rFonts w:ascii="Times New Roman" w:hAnsi="Times New Roman" w:cs="Times New Roman"/>
          <w:sz w:val="24"/>
          <w:szCs w:val="24"/>
        </w:rPr>
        <w:t xml:space="preserve"> “Velazco largo”, con una pureza genética de 98% y germinación de un 97%,</w:t>
      </w:r>
      <w:r w:rsidR="00DE5C3C">
        <w:rPr>
          <w:rFonts w:ascii="Times New Roman" w:hAnsi="Times New Roman" w:cs="Times New Roman"/>
          <w:sz w:val="24"/>
          <w:szCs w:val="24"/>
        </w:rPr>
        <w:t xml:space="preserve"> </w:t>
      </w:r>
      <w:r w:rsidRPr="006C6A28">
        <w:rPr>
          <w:rFonts w:ascii="Times New Roman" w:hAnsi="Times New Roman" w:cs="Times New Roman"/>
          <w:sz w:val="24"/>
          <w:szCs w:val="24"/>
        </w:rPr>
        <w:t xml:space="preserve">en un marco de </w:t>
      </w:r>
      <w:r w:rsidR="00D11A10" w:rsidRPr="006C6A28">
        <w:rPr>
          <w:rFonts w:ascii="Times New Roman" w:hAnsi="Times New Roman" w:cs="Times New Roman"/>
          <w:sz w:val="24"/>
          <w:szCs w:val="24"/>
        </w:rPr>
        <w:t>siembra 0.70m entre hileras y 0.10m</w:t>
      </w:r>
      <w:r w:rsidRPr="006C6A28">
        <w:rPr>
          <w:rFonts w:ascii="Times New Roman" w:hAnsi="Times New Roman" w:cs="Times New Roman"/>
          <w:sz w:val="24"/>
          <w:szCs w:val="24"/>
        </w:rPr>
        <w:t xml:space="preserve"> entre plantas.</w:t>
      </w:r>
    </w:p>
    <w:p w14:paraId="560CC851" w14:textId="77777777" w:rsidR="00CF3E17" w:rsidRPr="006C6A28" w:rsidRDefault="00CF3E17" w:rsidP="0040344E">
      <w:pPr>
        <w:spacing w:after="120" w:line="360" w:lineRule="auto"/>
        <w:jc w:val="both"/>
        <w:rPr>
          <w:rFonts w:ascii="Times New Roman" w:hAnsi="Times New Roman" w:cs="Times New Roman"/>
          <w:sz w:val="24"/>
          <w:szCs w:val="24"/>
        </w:rPr>
      </w:pPr>
      <w:r w:rsidRPr="006C6A28">
        <w:rPr>
          <w:rFonts w:ascii="Times New Roman" w:hAnsi="Times New Roman" w:cs="Times New Roman"/>
          <w:sz w:val="24"/>
          <w:szCs w:val="24"/>
        </w:rPr>
        <w:t xml:space="preserve">Para realizar las mediciones se marcaron las </w:t>
      </w:r>
      <w:r w:rsidR="008B6750" w:rsidRPr="006C6A28">
        <w:rPr>
          <w:rFonts w:ascii="Times New Roman" w:hAnsi="Times New Roman" w:cs="Times New Roman"/>
          <w:sz w:val="24"/>
          <w:szCs w:val="24"/>
        </w:rPr>
        <w:t>10</w:t>
      </w:r>
      <w:r w:rsidRPr="006C6A28">
        <w:rPr>
          <w:rFonts w:ascii="Times New Roman" w:hAnsi="Times New Roman" w:cs="Times New Roman"/>
          <w:sz w:val="24"/>
          <w:szCs w:val="24"/>
        </w:rPr>
        <w:t xml:space="preserve"> plantas centrales de cada tratamiento en cada réplica, las mismas formaban parte de la hilera central </w:t>
      </w:r>
    </w:p>
    <w:p w14:paraId="436DA796" w14:textId="77777777" w:rsidR="00CF3E17" w:rsidRPr="006C6A28" w:rsidRDefault="00CF3E17" w:rsidP="0040344E">
      <w:pPr>
        <w:spacing w:after="120" w:line="360" w:lineRule="auto"/>
        <w:jc w:val="both"/>
        <w:rPr>
          <w:rFonts w:ascii="Times New Roman" w:hAnsi="Times New Roman" w:cs="Times New Roman"/>
          <w:sz w:val="24"/>
          <w:szCs w:val="24"/>
        </w:rPr>
      </w:pPr>
      <w:r w:rsidRPr="006C6A28">
        <w:rPr>
          <w:rFonts w:ascii="Times New Roman" w:hAnsi="Times New Roman" w:cs="Times New Roman"/>
          <w:sz w:val="24"/>
          <w:szCs w:val="24"/>
        </w:rPr>
        <w:t>Se establecieron cuatro tratamientos que consistieron en:</w:t>
      </w:r>
    </w:p>
    <w:p w14:paraId="60C30F5D" w14:textId="77777777" w:rsidR="00CF3E17" w:rsidRPr="006C6A28" w:rsidRDefault="00CF3E17" w:rsidP="00DE5C3C">
      <w:pPr>
        <w:pStyle w:val="Prrafodelista"/>
        <w:numPr>
          <w:ilvl w:val="0"/>
          <w:numId w:val="10"/>
        </w:numPr>
        <w:spacing w:after="120" w:line="360" w:lineRule="auto"/>
        <w:ind w:left="284" w:hanging="284"/>
        <w:contextualSpacing w:val="0"/>
        <w:jc w:val="both"/>
        <w:rPr>
          <w:rFonts w:ascii="Times New Roman" w:hAnsi="Times New Roman" w:cs="Times New Roman"/>
          <w:sz w:val="24"/>
          <w:szCs w:val="24"/>
        </w:rPr>
      </w:pPr>
      <w:r w:rsidRPr="006C6A28">
        <w:rPr>
          <w:rFonts w:ascii="Times New Roman" w:hAnsi="Times New Roman" w:cs="Times New Roman"/>
          <w:sz w:val="24"/>
          <w:szCs w:val="24"/>
        </w:rPr>
        <w:t>Control (sin aplicación de bioinsumos).</w:t>
      </w:r>
    </w:p>
    <w:p w14:paraId="363155E0" w14:textId="1B59B50B" w:rsidR="00CF3E17" w:rsidRPr="006C6A28" w:rsidRDefault="00CF3E17" w:rsidP="00DE5C3C">
      <w:pPr>
        <w:pStyle w:val="Prrafodelista"/>
        <w:numPr>
          <w:ilvl w:val="0"/>
          <w:numId w:val="10"/>
        </w:numPr>
        <w:spacing w:after="120" w:line="360" w:lineRule="auto"/>
        <w:ind w:left="284" w:hanging="284"/>
        <w:contextualSpacing w:val="0"/>
        <w:jc w:val="both"/>
        <w:rPr>
          <w:rFonts w:ascii="Times New Roman" w:hAnsi="Times New Roman" w:cs="Times New Roman"/>
          <w:sz w:val="24"/>
          <w:szCs w:val="24"/>
        </w:rPr>
      </w:pPr>
      <w:r w:rsidRPr="006C6A28">
        <w:rPr>
          <w:rFonts w:ascii="Times New Roman" w:hAnsi="Times New Roman" w:cs="Times New Roman"/>
          <w:sz w:val="24"/>
          <w:szCs w:val="24"/>
        </w:rPr>
        <w:t xml:space="preserve">Las semillas se embebieron en una solución de 500 ml de </w:t>
      </w:r>
      <w:r w:rsidR="003B126C" w:rsidRPr="006C6A28">
        <w:rPr>
          <w:rFonts w:ascii="Times New Roman" w:hAnsi="Times New Roman" w:cs="Times New Roman"/>
          <w:sz w:val="24"/>
          <w:szCs w:val="24"/>
        </w:rPr>
        <w:t>Azofert-F</w:t>
      </w:r>
      <w:r w:rsidR="00E14E87" w:rsidRPr="006C6A28">
        <w:rPr>
          <w:rFonts w:ascii="Times New Roman" w:hAnsi="Times New Roman" w:cs="Times New Roman"/>
          <w:bCs/>
          <w:sz w:val="24"/>
          <w:szCs w:val="24"/>
        </w:rPr>
        <w:t>®</w:t>
      </w:r>
      <w:r w:rsidRPr="006C6A28">
        <w:rPr>
          <w:rFonts w:ascii="Times New Roman" w:hAnsi="Times New Roman" w:cs="Times New Roman"/>
          <w:sz w:val="24"/>
          <w:szCs w:val="24"/>
        </w:rPr>
        <w:t xml:space="preserve"> en 1L de agua por 4 horas y se dejaron airear antes de sembrar.</w:t>
      </w:r>
    </w:p>
    <w:p w14:paraId="1DB84C37" w14:textId="77777777" w:rsidR="00CF3E17" w:rsidRPr="006C6A28" w:rsidRDefault="00CF3E17" w:rsidP="00DE5C3C">
      <w:pPr>
        <w:pStyle w:val="Prrafodelista"/>
        <w:numPr>
          <w:ilvl w:val="0"/>
          <w:numId w:val="10"/>
        </w:numPr>
        <w:spacing w:after="120" w:line="360" w:lineRule="auto"/>
        <w:ind w:left="284" w:hanging="284"/>
        <w:contextualSpacing w:val="0"/>
        <w:jc w:val="both"/>
        <w:rPr>
          <w:rFonts w:ascii="Times New Roman" w:hAnsi="Times New Roman" w:cs="Times New Roman"/>
          <w:sz w:val="24"/>
          <w:szCs w:val="24"/>
        </w:rPr>
      </w:pPr>
      <w:r w:rsidRPr="006C6A28">
        <w:rPr>
          <w:rFonts w:ascii="Times New Roman" w:hAnsi="Times New Roman" w:cs="Times New Roman"/>
          <w:sz w:val="24"/>
          <w:szCs w:val="24"/>
        </w:rPr>
        <w:t>Se embebieron las semillas en una solución de 50 ml de QuitoMax® en 250 ml de agua por 4 horas y se dejaron airear antes de sembrar.</w:t>
      </w:r>
    </w:p>
    <w:p w14:paraId="4250ABA7" w14:textId="44AB6886" w:rsidR="00CF3E17" w:rsidRPr="006C6A28" w:rsidRDefault="00CF3E17" w:rsidP="00DE5C3C">
      <w:pPr>
        <w:pStyle w:val="Prrafodelista"/>
        <w:numPr>
          <w:ilvl w:val="0"/>
          <w:numId w:val="10"/>
        </w:numPr>
        <w:spacing w:after="120" w:line="360" w:lineRule="auto"/>
        <w:ind w:left="284" w:hanging="284"/>
        <w:contextualSpacing w:val="0"/>
        <w:jc w:val="both"/>
        <w:rPr>
          <w:rFonts w:ascii="Times New Roman" w:hAnsi="Times New Roman" w:cs="Times New Roman"/>
          <w:sz w:val="24"/>
          <w:szCs w:val="24"/>
        </w:rPr>
      </w:pPr>
      <w:r w:rsidRPr="006C6A28">
        <w:rPr>
          <w:rFonts w:ascii="Times New Roman" w:hAnsi="Times New Roman" w:cs="Times New Roman"/>
          <w:sz w:val="24"/>
          <w:szCs w:val="24"/>
        </w:rPr>
        <w:t xml:space="preserve">Se embebieron las semillas en la solución descrita de QuitoMax® por 4 horas, se dejaron airear y luego se asperjó la solución antes mencionada de </w:t>
      </w:r>
      <w:r w:rsidR="003B126C" w:rsidRPr="006C6A28">
        <w:rPr>
          <w:rFonts w:ascii="Times New Roman" w:hAnsi="Times New Roman" w:cs="Times New Roman"/>
          <w:sz w:val="24"/>
          <w:szCs w:val="24"/>
        </w:rPr>
        <w:t>Azofert-F</w:t>
      </w:r>
      <w:r w:rsidR="004A113F" w:rsidRPr="006C6A28">
        <w:rPr>
          <w:rFonts w:ascii="Times New Roman" w:hAnsi="Times New Roman" w:cs="Times New Roman"/>
          <w:bCs/>
          <w:sz w:val="24"/>
          <w:szCs w:val="24"/>
        </w:rPr>
        <w:t>®</w:t>
      </w:r>
      <w:r w:rsidRPr="006C6A28">
        <w:rPr>
          <w:rFonts w:ascii="Times New Roman" w:hAnsi="Times New Roman" w:cs="Times New Roman"/>
          <w:sz w:val="24"/>
          <w:szCs w:val="24"/>
        </w:rPr>
        <w:t>.</w:t>
      </w:r>
    </w:p>
    <w:p w14:paraId="2BD5FF0F" w14:textId="77777777" w:rsidR="00CF3E17" w:rsidRPr="006C6A28" w:rsidRDefault="00CF3E17" w:rsidP="00DE5C3C">
      <w:pPr>
        <w:spacing w:after="120" w:line="360" w:lineRule="auto"/>
        <w:ind w:left="284" w:hanging="284"/>
        <w:jc w:val="both"/>
        <w:rPr>
          <w:rFonts w:ascii="Times New Roman" w:hAnsi="Times New Roman" w:cs="Times New Roman"/>
          <w:sz w:val="24"/>
          <w:szCs w:val="24"/>
        </w:rPr>
      </w:pPr>
      <w:r w:rsidRPr="006C6A28">
        <w:rPr>
          <w:rFonts w:ascii="Times New Roman" w:hAnsi="Times New Roman" w:cs="Times New Roman"/>
          <w:sz w:val="24"/>
          <w:szCs w:val="24"/>
        </w:rPr>
        <w:t>Cuando los frutos alcanzaron el momento óptimo para ser cosechados se realizaron las siguientes evaluaciones.</w:t>
      </w:r>
    </w:p>
    <w:p w14:paraId="4BA6B0AD" w14:textId="77777777" w:rsidR="00CF3E17" w:rsidRPr="006C6A28" w:rsidRDefault="00CF3E17" w:rsidP="00DE5C3C">
      <w:pPr>
        <w:pStyle w:val="Prrafodelista"/>
        <w:numPr>
          <w:ilvl w:val="0"/>
          <w:numId w:val="11"/>
        </w:numPr>
        <w:spacing w:after="120" w:line="360" w:lineRule="auto"/>
        <w:ind w:left="284" w:hanging="284"/>
        <w:contextualSpacing w:val="0"/>
        <w:jc w:val="both"/>
        <w:rPr>
          <w:rFonts w:ascii="Times New Roman" w:hAnsi="Times New Roman" w:cs="Times New Roman"/>
          <w:sz w:val="24"/>
          <w:szCs w:val="24"/>
        </w:rPr>
      </w:pPr>
      <w:r w:rsidRPr="006C6A28">
        <w:rPr>
          <w:rFonts w:ascii="Times New Roman" w:hAnsi="Times New Roman" w:cs="Times New Roman"/>
          <w:sz w:val="24"/>
          <w:szCs w:val="24"/>
        </w:rPr>
        <w:t>Número de vainas promedio por planta (se contaron por cada planta seleccionada y luego se promediaron.</w:t>
      </w:r>
    </w:p>
    <w:p w14:paraId="54D4A899" w14:textId="77777777" w:rsidR="00CF3E17" w:rsidRPr="006C6A28" w:rsidRDefault="00CF3E17" w:rsidP="00DE5C3C">
      <w:pPr>
        <w:pStyle w:val="Prrafodelista"/>
        <w:numPr>
          <w:ilvl w:val="0"/>
          <w:numId w:val="11"/>
        </w:numPr>
        <w:spacing w:after="120" w:line="360" w:lineRule="auto"/>
        <w:ind w:left="284" w:hanging="284"/>
        <w:contextualSpacing w:val="0"/>
        <w:jc w:val="both"/>
        <w:rPr>
          <w:rFonts w:ascii="Times New Roman" w:hAnsi="Times New Roman" w:cs="Times New Roman"/>
          <w:sz w:val="24"/>
          <w:szCs w:val="24"/>
        </w:rPr>
      </w:pPr>
      <w:r w:rsidRPr="006C6A28">
        <w:rPr>
          <w:rFonts w:ascii="Times New Roman" w:hAnsi="Times New Roman" w:cs="Times New Roman"/>
          <w:sz w:val="24"/>
          <w:szCs w:val="24"/>
        </w:rPr>
        <w:t>Número de granos promedio por planta. Se contaron por cada planta seleccionada y luego se promediaron.</w:t>
      </w:r>
    </w:p>
    <w:p w14:paraId="7D54E7EB" w14:textId="77777777" w:rsidR="00CF3E17" w:rsidRPr="006C6A28" w:rsidRDefault="00CF3E17" w:rsidP="00DE5C3C">
      <w:pPr>
        <w:pStyle w:val="Prrafodelista"/>
        <w:numPr>
          <w:ilvl w:val="0"/>
          <w:numId w:val="11"/>
        </w:numPr>
        <w:spacing w:after="120" w:line="360" w:lineRule="auto"/>
        <w:ind w:left="284" w:hanging="284"/>
        <w:contextualSpacing w:val="0"/>
        <w:jc w:val="both"/>
        <w:rPr>
          <w:rFonts w:ascii="Times New Roman" w:hAnsi="Times New Roman" w:cs="Times New Roman"/>
          <w:sz w:val="24"/>
          <w:szCs w:val="24"/>
        </w:rPr>
      </w:pPr>
      <w:r w:rsidRPr="006C6A28">
        <w:rPr>
          <w:rFonts w:ascii="Times New Roman" w:hAnsi="Times New Roman" w:cs="Times New Roman"/>
          <w:sz w:val="24"/>
          <w:szCs w:val="24"/>
        </w:rPr>
        <w:t>Peso promedio de 100 granos (g). Se pesaron en una balanza analítica100 granos de cada tratamiento.</w:t>
      </w:r>
    </w:p>
    <w:p w14:paraId="3D52299E" w14:textId="249E8B03" w:rsidR="00CF3E17" w:rsidRDefault="00CF3E17" w:rsidP="00DE5C3C">
      <w:pPr>
        <w:pStyle w:val="Prrafodelista"/>
        <w:numPr>
          <w:ilvl w:val="0"/>
          <w:numId w:val="11"/>
        </w:numPr>
        <w:spacing w:after="120" w:line="360" w:lineRule="auto"/>
        <w:ind w:left="284" w:hanging="284"/>
        <w:contextualSpacing w:val="0"/>
        <w:jc w:val="both"/>
        <w:rPr>
          <w:rFonts w:ascii="Times New Roman" w:hAnsi="Times New Roman" w:cs="Times New Roman"/>
          <w:sz w:val="24"/>
          <w:szCs w:val="24"/>
        </w:rPr>
      </w:pPr>
      <w:r w:rsidRPr="006C6A28">
        <w:rPr>
          <w:rFonts w:ascii="Times New Roman" w:hAnsi="Times New Roman" w:cs="Times New Roman"/>
          <w:sz w:val="24"/>
          <w:szCs w:val="24"/>
        </w:rPr>
        <w:t>Rendimiento obtenido (t</w:t>
      </w:r>
      <w:r w:rsidR="003B126C" w:rsidRPr="006C6A28">
        <w:rPr>
          <w:rFonts w:ascii="Times New Roman" w:hAnsi="Times New Roman" w:cs="Times New Roman"/>
          <w:sz w:val="24"/>
          <w:szCs w:val="24"/>
        </w:rPr>
        <w:t xml:space="preserve"> h</w:t>
      </w:r>
      <w:r w:rsidRPr="006C6A28">
        <w:rPr>
          <w:rFonts w:ascii="Times New Roman" w:hAnsi="Times New Roman" w:cs="Times New Roman"/>
          <w:sz w:val="24"/>
          <w:szCs w:val="24"/>
        </w:rPr>
        <w:t>a</w:t>
      </w:r>
      <w:r w:rsidRPr="006C6A28">
        <w:rPr>
          <w:rFonts w:ascii="Times New Roman" w:hAnsi="Times New Roman" w:cs="Times New Roman"/>
          <w:sz w:val="24"/>
          <w:szCs w:val="24"/>
          <w:vertAlign w:val="superscript"/>
        </w:rPr>
        <w:t>-1</w:t>
      </w:r>
      <w:r w:rsidRPr="006C6A28">
        <w:rPr>
          <w:rFonts w:ascii="Times New Roman" w:hAnsi="Times New Roman" w:cs="Times New Roman"/>
          <w:sz w:val="24"/>
          <w:szCs w:val="24"/>
        </w:rPr>
        <w:t>). Se determinó en base a los componentes del rendimiento, numero de granos promedio por planta, peso de 100 semillas y número de plantas por área y se ponderó para una hectárea.</w:t>
      </w:r>
    </w:p>
    <w:p w14:paraId="1B8702AF" w14:textId="77777777" w:rsidR="00BE15A1" w:rsidRPr="00BE15A1" w:rsidRDefault="00BE15A1" w:rsidP="00BE15A1">
      <w:pPr>
        <w:spacing w:after="120" w:line="360" w:lineRule="auto"/>
        <w:jc w:val="both"/>
        <w:rPr>
          <w:rFonts w:ascii="Times New Roman" w:hAnsi="Times New Roman" w:cs="Times New Roman"/>
          <w:sz w:val="24"/>
          <w:szCs w:val="24"/>
        </w:rPr>
      </w:pPr>
      <w:r w:rsidRPr="00BE15A1">
        <w:rPr>
          <w:rFonts w:ascii="Times New Roman" w:hAnsi="Times New Roman" w:cs="Times New Roman"/>
          <w:sz w:val="24"/>
          <w:szCs w:val="24"/>
        </w:rPr>
        <w:t xml:space="preserve">El diseño empleado fue el de bloques al azar con cuatro tratamientos en cuatro replicas. Se aplicó un análisis de varianza de clasificación doble y cuando existieron diferencias significativas una </w:t>
      </w:r>
    </w:p>
    <w:p w14:paraId="7147B5E6" w14:textId="77777777" w:rsidR="00BE15A1" w:rsidRPr="00BE15A1" w:rsidRDefault="00BE15A1" w:rsidP="00BE15A1">
      <w:pPr>
        <w:spacing w:after="120" w:line="360" w:lineRule="auto"/>
        <w:jc w:val="both"/>
        <w:rPr>
          <w:rFonts w:ascii="Times New Roman" w:hAnsi="Times New Roman" w:cs="Times New Roman"/>
          <w:sz w:val="24"/>
          <w:szCs w:val="24"/>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0"/>
        <w:gridCol w:w="709"/>
        <w:gridCol w:w="567"/>
        <w:gridCol w:w="992"/>
        <w:gridCol w:w="1134"/>
        <w:gridCol w:w="567"/>
        <w:gridCol w:w="567"/>
        <w:gridCol w:w="567"/>
        <w:gridCol w:w="567"/>
        <w:gridCol w:w="851"/>
        <w:gridCol w:w="1559"/>
      </w:tblGrid>
      <w:tr w:rsidR="00CF3E17" w:rsidRPr="006C6A28" w14:paraId="53034A54" w14:textId="77777777" w:rsidTr="00615504">
        <w:trPr>
          <w:trHeight w:val="756"/>
          <w:jc w:val="center"/>
        </w:trPr>
        <w:tc>
          <w:tcPr>
            <w:tcW w:w="590" w:type="dxa"/>
            <w:vMerge w:val="restart"/>
          </w:tcPr>
          <w:p w14:paraId="141366FF"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lastRenderedPageBreak/>
              <w:t>Prof.</w:t>
            </w:r>
          </w:p>
          <w:p w14:paraId="4762FAE2"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(cm)</w:t>
            </w:r>
          </w:p>
        </w:tc>
        <w:tc>
          <w:tcPr>
            <w:tcW w:w="709" w:type="dxa"/>
            <w:vMerge w:val="restart"/>
          </w:tcPr>
          <w:p w14:paraId="3B3F9D6C"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pH en H</w:t>
            </w:r>
            <w:r w:rsidRPr="00615504">
              <w:rPr>
                <w:rFonts w:ascii="Times New Roman" w:hAnsi="Times New Roman" w:cs="Times New Roman"/>
                <w:sz w:val="20"/>
                <w:szCs w:val="20"/>
                <w:vertAlign w:val="subscript"/>
              </w:rPr>
              <w:t>2</w:t>
            </w:r>
            <w:r w:rsidRPr="00615504">
              <w:rPr>
                <w:rFonts w:ascii="Times New Roman" w:hAnsi="Times New Roman" w:cs="Times New Roman"/>
                <w:sz w:val="20"/>
                <w:szCs w:val="20"/>
              </w:rPr>
              <w:t>O</w:t>
            </w:r>
          </w:p>
        </w:tc>
        <w:tc>
          <w:tcPr>
            <w:tcW w:w="567" w:type="dxa"/>
            <w:vMerge w:val="restart"/>
          </w:tcPr>
          <w:p w14:paraId="1287129A"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M.O</w:t>
            </w:r>
          </w:p>
          <w:p w14:paraId="62E153AB"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w:t>
            </w:r>
          </w:p>
        </w:tc>
        <w:tc>
          <w:tcPr>
            <w:tcW w:w="992" w:type="dxa"/>
            <w:vMerge w:val="restart"/>
          </w:tcPr>
          <w:p w14:paraId="7953AA06"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P</w:t>
            </w:r>
            <w:r w:rsidRPr="00615504">
              <w:rPr>
                <w:rFonts w:ascii="Times New Roman" w:hAnsi="Times New Roman" w:cs="Times New Roman"/>
                <w:sz w:val="20"/>
                <w:szCs w:val="20"/>
                <w:vertAlign w:val="subscript"/>
              </w:rPr>
              <w:t>2</w:t>
            </w:r>
            <w:r w:rsidRPr="00615504">
              <w:rPr>
                <w:rFonts w:ascii="Times New Roman" w:hAnsi="Times New Roman" w:cs="Times New Roman"/>
                <w:sz w:val="20"/>
                <w:szCs w:val="20"/>
              </w:rPr>
              <w:t>O</w:t>
            </w:r>
            <w:r w:rsidRPr="00615504">
              <w:rPr>
                <w:rFonts w:ascii="Times New Roman" w:hAnsi="Times New Roman" w:cs="Times New Roman"/>
                <w:sz w:val="20"/>
                <w:szCs w:val="20"/>
                <w:vertAlign w:val="subscript"/>
              </w:rPr>
              <w:t>5</w:t>
            </w:r>
          </w:p>
          <w:p w14:paraId="19AE9F65"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(mg/100g)</w:t>
            </w:r>
          </w:p>
        </w:tc>
        <w:tc>
          <w:tcPr>
            <w:tcW w:w="1134" w:type="dxa"/>
            <w:vMerge w:val="restart"/>
          </w:tcPr>
          <w:p w14:paraId="5B2598DE"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K</w:t>
            </w:r>
            <w:r w:rsidRPr="00615504">
              <w:rPr>
                <w:rFonts w:ascii="Times New Roman" w:hAnsi="Times New Roman" w:cs="Times New Roman"/>
                <w:sz w:val="20"/>
                <w:szCs w:val="20"/>
                <w:vertAlign w:val="subscript"/>
              </w:rPr>
              <w:t>2</w:t>
            </w:r>
            <w:r w:rsidRPr="00615504">
              <w:rPr>
                <w:rFonts w:ascii="Times New Roman" w:hAnsi="Times New Roman" w:cs="Times New Roman"/>
                <w:sz w:val="20"/>
                <w:szCs w:val="20"/>
              </w:rPr>
              <w:t>O</w:t>
            </w:r>
          </w:p>
          <w:p w14:paraId="4C6658CF"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(mg/100g)</w:t>
            </w:r>
          </w:p>
        </w:tc>
        <w:tc>
          <w:tcPr>
            <w:tcW w:w="3119" w:type="dxa"/>
            <w:gridSpan w:val="5"/>
          </w:tcPr>
          <w:p w14:paraId="0D69E714"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Cationes Intercambiables</w:t>
            </w:r>
          </w:p>
        </w:tc>
        <w:tc>
          <w:tcPr>
            <w:tcW w:w="1559" w:type="dxa"/>
            <w:vMerge w:val="restart"/>
          </w:tcPr>
          <w:p w14:paraId="32D290A1"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Capacidadde cambio</w:t>
            </w:r>
            <w:r w:rsidR="00914654" w:rsidRPr="00615504">
              <w:rPr>
                <w:rFonts w:ascii="Times New Roman" w:hAnsi="Times New Roman" w:cs="Times New Roman"/>
                <w:sz w:val="20"/>
                <w:szCs w:val="20"/>
              </w:rPr>
              <w:t xml:space="preserve"> </w:t>
            </w:r>
            <w:r w:rsidRPr="00615504">
              <w:rPr>
                <w:rFonts w:ascii="Times New Roman" w:hAnsi="Times New Roman" w:cs="Times New Roman"/>
                <w:sz w:val="20"/>
                <w:szCs w:val="20"/>
              </w:rPr>
              <w:t>de base</w:t>
            </w:r>
            <w:r w:rsidR="00914654" w:rsidRPr="00615504">
              <w:rPr>
                <w:rFonts w:ascii="Times New Roman" w:hAnsi="Times New Roman" w:cs="Times New Roman"/>
                <w:sz w:val="20"/>
                <w:szCs w:val="20"/>
              </w:rPr>
              <w:t xml:space="preserve"> (cmol </w:t>
            </w:r>
            <w:r w:rsidRPr="00615504">
              <w:rPr>
                <w:rFonts w:ascii="Times New Roman" w:hAnsi="Times New Roman" w:cs="Times New Roman"/>
                <w:sz w:val="20"/>
                <w:szCs w:val="20"/>
              </w:rPr>
              <w:t>g</w:t>
            </w:r>
            <w:r w:rsidRPr="00615504">
              <w:rPr>
                <w:rFonts w:ascii="Times New Roman" w:hAnsi="Times New Roman" w:cs="Times New Roman"/>
                <w:sz w:val="20"/>
                <w:szCs w:val="20"/>
                <w:vertAlign w:val="superscript"/>
              </w:rPr>
              <w:t>-1</w:t>
            </w:r>
            <w:r w:rsidRPr="00615504">
              <w:rPr>
                <w:rFonts w:ascii="Times New Roman" w:hAnsi="Times New Roman" w:cs="Times New Roman"/>
                <w:sz w:val="20"/>
                <w:szCs w:val="20"/>
              </w:rPr>
              <w:t>)</w:t>
            </w:r>
          </w:p>
        </w:tc>
      </w:tr>
      <w:tr w:rsidR="00CF3E17" w:rsidRPr="006C6A28" w14:paraId="5BB21DD9" w14:textId="77777777" w:rsidTr="00615504">
        <w:trPr>
          <w:trHeight w:val="554"/>
          <w:jc w:val="center"/>
        </w:trPr>
        <w:tc>
          <w:tcPr>
            <w:tcW w:w="590" w:type="dxa"/>
            <w:vMerge/>
          </w:tcPr>
          <w:p w14:paraId="40474A30" w14:textId="77777777" w:rsidR="00CF3E17" w:rsidRPr="00615504" w:rsidRDefault="00CF3E17" w:rsidP="0040344E">
            <w:pPr>
              <w:spacing w:after="120" w:line="360" w:lineRule="auto"/>
              <w:rPr>
                <w:rFonts w:ascii="Times New Roman" w:hAnsi="Times New Roman" w:cs="Times New Roman"/>
                <w:sz w:val="20"/>
                <w:szCs w:val="20"/>
              </w:rPr>
            </w:pPr>
          </w:p>
        </w:tc>
        <w:tc>
          <w:tcPr>
            <w:tcW w:w="709" w:type="dxa"/>
            <w:vMerge/>
          </w:tcPr>
          <w:p w14:paraId="09F5ECD5" w14:textId="77777777" w:rsidR="00CF3E17" w:rsidRPr="00615504" w:rsidRDefault="00CF3E17" w:rsidP="0040344E">
            <w:pPr>
              <w:spacing w:after="120" w:line="360" w:lineRule="auto"/>
              <w:rPr>
                <w:rFonts w:ascii="Times New Roman" w:hAnsi="Times New Roman" w:cs="Times New Roman"/>
                <w:sz w:val="20"/>
                <w:szCs w:val="20"/>
              </w:rPr>
            </w:pPr>
          </w:p>
        </w:tc>
        <w:tc>
          <w:tcPr>
            <w:tcW w:w="567" w:type="dxa"/>
            <w:vMerge/>
          </w:tcPr>
          <w:p w14:paraId="3A8B4F3E" w14:textId="77777777" w:rsidR="00CF3E17" w:rsidRPr="00615504" w:rsidRDefault="00CF3E17" w:rsidP="0040344E">
            <w:pPr>
              <w:spacing w:after="120" w:line="360" w:lineRule="auto"/>
              <w:rPr>
                <w:rFonts w:ascii="Times New Roman" w:hAnsi="Times New Roman" w:cs="Times New Roman"/>
                <w:sz w:val="20"/>
                <w:szCs w:val="20"/>
              </w:rPr>
            </w:pPr>
          </w:p>
        </w:tc>
        <w:tc>
          <w:tcPr>
            <w:tcW w:w="992" w:type="dxa"/>
            <w:vMerge/>
          </w:tcPr>
          <w:p w14:paraId="0D6BC948" w14:textId="77777777" w:rsidR="00CF3E17" w:rsidRPr="00615504" w:rsidRDefault="00CF3E17" w:rsidP="0040344E">
            <w:pPr>
              <w:spacing w:after="120" w:line="360" w:lineRule="auto"/>
              <w:rPr>
                <w:rFonts w:ascii="Times New Roman" w:hAnsi="Times New Roman" w:cs="Times New Roman"/>
                <w:sz w:val="20"/>
                <w:szCs w:val="20"/>
              </w:rPr>
            </w:pPr>
          </w:p>
        </w:tc>
        <w:tc>
          <w:tcPr>
            <w:tcW w:w="1134" w:type="dxa"/>
            <w:vMerge/>
          </w:tcPr>
          <w:p w14:paraId="7B1574C4" w14:textId="77777777" w:rsidR="00CF3E17" w:rsidRPr="00615504" w:rsidRDefault="00CF3E17" w:rsidP="0040344E">
            <w:pPr>
              <w:spacing w:after="120" w:line="360" w:lineRule="auto"/>
              <w:rPr>
                <w:rFonts w:ascii="Times New Roman" w:hAnsi="Times New Roman" w:cs="Times New Roman"/>
                <w:sz w:val="20"/>
                <w:szCs w:val="20"/>
              </w:rPr>
            </w:pPr>
          </w:p>
        </w:tc>
        <w:tc>
          <w:tcPr>
            <w:tcW w:w="567" w:type="dxa"/>
          </w:tcPr>
          <w:p w14:paraId="012D8A74"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Na</w:t>
            </w:r>
          </w:p>
        </w:tc>
        <w:tc>
          <w:tcPr>
            <w:tcW w:w="567" w:type="dxa"/>
          </w:tcPr>
          <w:p w14:paraId="4B25325F"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K</w:t>
            </w:r>
          </w:p>
        </w:tc>
        <w:tc>
          <w:tcPr>
            <w:tcW w:w="567" w:type="dxa"/>
          </w:tcPr>
          <w:p w14:paraId="6D0A431F"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Mg</w:t>
            </w:r>
          </w:p>
        </w:tc>
        <w:tc>
          <w:tcPr>
            <w:tcW w:w="567" w:type="dxa"/>
          </w:tcPr>
          <w:p w14:paraId="3DBDF50C"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Ca</w:t>
            </w:r>
          </w:p>
        </w:tc>
        <w:tc>
          <w:tcPr>
            <w:tcW w:w="851" w:type="dxa"/>
          </w:tcPr>
          <w:p w14:paraId="3B6E9FB5"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SST(%)</w:t>
            </w:r>
          </w:p>
        </w:tc>
        <w:tc>
          <w:tcPr>
            <w:tcW w:w="1559" w:type="dxa"/>
            <w:vMerge/>
          </w:tcPr>
          <w:p w14:paraId="1DF1AE22" w14:textId="77777777" w:rsidR="00CF3E17" w:rsidRPr="00615504" w:rsidRDefault="00CF3E17" w:rsidP="0040344E">
            <w:pPr>
              <w:spacing w:after="120" w:line="360" w:lineRule="auto"/>
              <w:rPr>
                <w:rFonts w:ascii="Times New Roman" w:hAnsi="Times New Roman" w:cs="Times New Roman"/>
                <w:sz w:val="20"/>
                <w:szCs w:val="20"/>
              </w:rPr>
            </w:pPr>
          </w:p>
        </w:tc>
      </w:tr>
      <w:tr w:rsidR="00CF3E17" w:rsidRPr="006C6A28" w14:paraId="07C54D94" w14:textId="77777777" w:rsidTr="00615504">
        <w:trPr>
          <w:trHeight w:val="525"/>
          <w:jc w:val="center"/>
        </w:trPr>
        <w:tc>
          <w:tcPr>
            <w:tcW w:w="590" w:type="dxa"/>
          </w:tcPr>
          <w:p w14:paraId="5B300351"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0-60</w:t>
            </w:r>
          </w:p>
        </w:tc>
        <w:tc>
          <w:tcPr>
            <w:tcW w:w="709" w:type="dxa"/>
          </w:tcPr>
          <w:p w14:paraId="5BFC336F"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7,53</w:t>
            </w:r>
          </w:p>
        </w:tc>
        <w:tc>
          <w:tcPr>
            <w:tcW w:w="567" w:type="dxa"/>
          </w:tcPr>
          <w:p w14:paraId="754E1093"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2,70</w:t>
            </w:r>
          </w:p>
        </w:tc>
        <w:tc>
          <w:tcPr>
            <w:tcW w:w="992" w:type="dxa"/>
          </w:tcPr>
          <w:p w14:paraId="4EDEBCC8"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2,3</w:t>
            </w:r>
          </w:p>
        </w:tc>
        <w:tc>
          <w:tcPr>
            <w:tcW w:w="1134" w:type="dxa"/>
          </w:tcPr>
          <w:p w14:paraId="51FD155A"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35,2</w:t>
            </w:r>
          </w:p>
        </w:tc>
        <w:tc>
          <w:tcPr>
            <w:tcW w:w="567" w:type="dxa"/>
          </w:tcPr>
          <w:p w14:paraId="75290F95"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3,97</w:t>
            </w:r>
          </w:p>
        </w:tc>
        <w:tc>
          <w:tcPr>
            <w:tcW w:w="567" w:type="dxa"/>
          </w:tcPr>
          <w:p w14:paraId="4347CAEE"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0,97</w:t>
            </w:r>
          </w:p>
        </w:tc>
        <w:tc>
          <w:tcPr>
            <w:tcW w:w="567" w:type="dxa"/>
          </w:tcPr>
          <w:p w14:paraId="3440D36B"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10,7</w:t>
            </w:r>
          </w:p>
        </w:tc>
        <w:tc>
          <w:tcPr>
            <w:tcW w:w="567" w:type="dxa"/>
          </w:tcPr>
          <w:p w14:paraId="35FB8A3C"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40,8</w:t>
            </w:r>
          </w:p>
        </w:tc>
        <w:tc>
          <w:tcPr>
            <w:tcW w:w="851" w:type="dxa"/>
          </w:tcPr>
          <w:p w14:paraId="0DF2FBE3"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0,2</w:t>
            </w:r>
          </w:p>
        </w:tc>
        <w:tc>
          <w:tcPr>
            <w:tcW w:w="1559" w:type="dxa"/>
          </w:tcPr>
          <w:p w14:paraId="3DB5F002" w14:textId="77777777" w:rsidR="00CF3E17" w:rsidRPr="00615504" w:rsidRDefault="00CF3E17" w:rsidP="0040344E">
            <w:pPr>
              <w:spacing w:after="120" w:line="360" w:lineRule="auto"/>
              <w:rPr>
                <w:rFonts w:ascii="Times New Roman" w:hAnsi="Times New Roman" w:cs="Times New Roman"/>
                <w:sz w:val="20"/>
                <w:szCs w:val="20"/>
              </w:rPr>
            </w:pPr>
            <w:r w:rsidRPr="00615504">
              <w:rPr>
                <w:rFonts w:ascii="Times New Roman" w:hAnsi="Times New Roman" w:cs="Times New Roman"/>
                <w:sz w:val="20"/>
                <w:szCs w:val="20"/>
              </w:rPr>
              <w:t>56,5</w:t>
            </w:r>
          </w:p>
        </w:tc>
      </w:tr>
    </w:tbl>
    <w:p w14:paraId="373DD9DE" w14:textId="18EDBB7C" w:rsidR="00CF3E17" w:rsidRPr="00C33BEC" w:rsidRDefault="00CF3E17" w:rsidP="00C33BEC">
      <w:pPr>
        <w:spacing w:after="120" w:line="240" w:lineRule="auto"/>
        <w:jc w:val="center"/>
        <w:rPr>
          <w:rFonts w:ascii="Times New Roman" w:hAnsi="Times New Roman" w:cs="Times New Roman"/>
          <w:sz w:val="20"/>
          <w:szCs w:val="20"/>
        </w:rPr>
      </w:pPr>
      <w:r w:rsidRPr="00C33BEC">
        <w:rPr>
          <w:rFonts w:ascii="Times New Roman" w:hAnsi="Times New Roman" w:cs="Times New Roman"/>
          <w:sz w:val="20"/>
          <w:szCs w:val="20"/>
        </w:rPr>
        <w:t>Tabla 1: Características del suelo Pardo con carbonato</w:t>
      </w:r>
      <w:r w:rsidR="00C475DE">
        <w:rPr>
          <w:rFonts w:ascii="Times New Roman" w:hAnsi="Times New Roman" w:cs="Times New Roman"/>
          <w:sz w:val="20"/>
          <w:szCs w:val="20"/>
        </w:rPr>
        <w:t>s</w:t>
      </w:r>
      <w:r w:rsidRPr="00C33BEC">
        <w:rPr>
          <w:rFonts w:ascii="Times New Roman" w:hAnsi="Times New Roman" w:cs="Times New Roman"/>
          <w:sz w:val="20"/>
          <w:szCs w:val="20"/>
        </w:rPr>
        <w:t xml:space="preserve"> empleado. Fuente. Laboratorio Provincial de suelos de la provincia Santiago de Cuba.</w:t>
      </w:r>
    </w:p>
    <w:p w14:paraId="42669C1A" w14:textId="77777777" w:rsidR="00623D78" w:rsidRPr="006C6A28" w:rsidRDefault="003456C2" w:rsidP="0040344E">
      <w:pPr>
        <w:spacing w:after="120" w:line="360" w:lineRule="auto"/>
        <w:jc w:val="both"/>
        <w:rPr>
          <w:rFonts w:ascii="Times New Roman" w:hAnsi="Times New Roman" w:cs="Times New Roman"/>
          <w:b/>
          <w:sz w:val="24"/>
          <w:szCs w:val="24"/>
        </w:rPr>
      </w:pPr>
      <w:r w:rsidRPr="006C6A28">
        <w:rPr>
          <w:rFonts w:ascii="Times New Roman" w:hAnsi="Times New Roman" w:cs="Times New Roman"/>
          <w:b/>
          <w:sz w:val="24"/>
          <w:szCs w:val="24"/>
        </w:rPr>
        <w:t>Resultados y discusión</w:t>
      </w:r>
    </w:p>
    <w:p w14:paraId="757F5DCB" w14:textId="4B8F732E" w:rsidR="00623D78" w:rsidRDefault="006D19F6" w:rsidP="0040344E">
      <w:p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w:t>
      </w:r>
      <w:r w:rsidRPr="006C6A28">
        <w:rPr>
          <w:rFonts w:ascii="Times New Roman" w:eastAsia="Calibri" w:hAnsi="Times New Roman" w:cs="Times New Roman"/>
          <w:sz w:val="24"/>
          <w:szCs w:val="24"/>
        </w:rPr>
        <w:t>Figura 1</w:t>
      </w:r>
      <w:r>
        <w:rPr>
          <w:rFonts w:ascii="Times New Roman" w:eastAsia="Calibri" w:hAnsi="Times New Roman" w:cs="Times New Roman"/>
          <w:sz w:val="24"/>
          <w:szCs w:val="24"/>
        </w:rPr>
        <w:t xml:space="preserve"> muestra que a</w:t>
      </w:r>
      <w:r w:rsidR="00623D78" w:rsidRPr="006C6A28">
        <w:rPr>
          <w:rFonts w:ascii="Times New Roman" w:eastAsia="Calibri" w:hAnsi="Times New Roman" w:cs="Times New Roman"/>
          <w:sz w:val="24"/>
          <w:szCs w:val="24"/>
        </w:rPr>
        <w:t xml:space="preserve">l evaluar el número de vainas, el tratamiento 4 (4.7) es superior y difiere significativamente </w:t>
      </w:r>
      <w:r>
        <w:rPr>
          <w:rFonts w:ascii="Times New Roman" w:eastAsia="Calibri" w:hAnsi="Times New Roman" w:cs="Times New Roman"/>
          <w:sz w:val="24"/>
          <w:szCs w:val="24"/>
        </w:rPr>
        <w:t>del</w:t>
      </w:r>
      <w:r w:rsidR="00623D78" w:rsidRPr="006C6A28">
        <w:rPr>
          <w:rFonts w:ascii="Times New Roman" w:eastAsia="Calibri" w:hAnsi="Times New Roman" w:cs="Times New Roman"/>
          <w:sz w:val="24"/>
          <w:szCs w:val="24"/>
        </w:rPr>
        <w:t xml:space="preserve"> el resto, el testigo refleja el menor resultado (3.65), siendo superado también por los tratamientos 2 y 3. Pérez </w:t>
      </w:r>
      <w:r>
        <w:rPr>
          <w:rFonts w:ascii="Times New Roman" w:eastAsia="Calibri" w:hAnsi="Times New Roman" w:cs="Times New Roman"/>
          <w:sz w:val="24"/>
          <w:szCs w:val="24"/>
        </w:rPr>
        <w:t>(</w:t>
      </w:r>
      <w:r w:rsidR="00623D78" w:rsidRPr="006C6A28">
        <w:rPr>
          <w:rFonts w:ascii="Times New Roman" w:eastAsia="Calibri" w:hAnsi="Times New Roman" w:cs="Times New Roman"/>
          <w:sz w:val="24"/>
          <w:szCs w:val="24"/>
        </w:rPr>
        <w:t>2017</w:t>
      </w:r>
      <w:r>
        <w:rPr>
          <w:rFonts w:ascii="Times New Roman" w:eastAsia="Calibri" w:hAnsi="Times New Roman" w:cs="Times New Roman"/>
          <w:sz w:val="24"/>
          <w:szCs w:val="24"/>
        </w:rPr>
        <w:t>),</w:t>
      </w:r>
      <w:r w:rsidR="00623D78" w:rsidRPr="006C6A28">
        <w:rPr>
          <w:rFonts w:ascii="Times New Roman" w:eastAsia="Calibri" w:hAnsi="Times New Roman" w:cs="Times New Roman"/>
          <w:sz w:val="24"/>
          <w:szCs w:val="24"/>
        </w:rPr>
        <w:t xml:space="preserve"> evaluó variedades de frijol en condiciones de déficit hídrico siendo los mejores resultados en este indicador los obtenidos cuando las semillas fueron inoculadas con </w:t>
      </w:r>
      <w:r w:rsidR="003B126C" w:rsidRPr="006C6A28">
        <w:rPr>
          <w:rFonts w:ascii="Times New Roman" w:eastAsia="Calibri" w:hAnsi="Times New Roman" w:cs="Times New Roman"/>
          <w:sz w:val="24"/>
          <w:szCs w:val="24"/>
        </w:rPr>
        <w:t>Azofert-F</w:t>
      </w:r>
      <w:r w:rsidR="00E013F4" w:rsidRPr="006C6A28">
        <w:rPr>
          <w:rFonts w:ascii="Times New Roman" w:hAnsi="Times New Roman" w:cs="Times New Roman"/>
          <w:bCs/>
          <w:sz w:val="24"/>
          <w:szCs w:val="24"/>
        </w:rPr>
        <w:t>®</w:t>
      </w:r>
      <w:r w:rsidR="00623D78" w:rsidRPr="006C6A28">
        <w:rPr>
          <w:rFonts w:ascii="Times New Roman" w:eastAsia="Calibri" w:hAnsi="Times New Roman" w:cs="Times New Roman"/>
          <w:sz w:val="24"/>
          <w:szCs w:val="24"/>
        </w:rPr>
        <w:t>, lo que coincide con los resultados alcanzados en este trabajo, en el cual este tratamiento supera al testigo.</w:t>
      </w:r>
    </w:p>
    <w:p w14:paraId="68777EFA" w14:textId="77777777" w:rsidR="00BE15A1" w:rsidRPr="006C6A28" w:rsidRDefault="00BE15A1" w:rsidP="00BE15A1">
      <w:pPr>
        <w:spacing w:after="120" w:line="360" w:lineRule="auto"/>
        <w:jc w:val="center"/>
        <w:rPr>
          <w:rFonts w:ascii="Times New Roman" w:eastAsia="Calibri" w:hAnsi="Times New Roman" w:cs="Times New Roman"/>
          <w:sz w:val="24"/>
          <w:szCs w:val="24"/>
        </w:rPr>
      </w:pPr>
      <w:r w:rsidRPr="006C6A28">
        <w:rPr>
          <w:rFonts w:ascii="Times New Roman" w:hAnsi="Times New Roman" w:cs="Times New Roman"/>
          <w:noProof/>
          <w:sz w:val="24"/>
          <w:szCs w:val="24"/>
          <w:lang w:val="es-MX" w:eastAsia="es-MX"/>
        </w:rPr>
        <w:drawing>
          <wp:inline distT="0" distB="0" distL="0" distR="0" wp14:anchorId="395AE70F" wp14:editId="6F5F09D5">
            <wp:extent cx="4526845" cy="2179490"/>
            <wp:effectExtent l="19050" t="0" r="705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6"/>
                    <a:stretch>
                      <a:fillRect/>
                    </a:stretch>
                  </pic:blipFill>
                  <pic:spPr>
                    <a:xfrm>
                      <a:off x="0" y="0"/>
                      <a:ext cx="4532865" cy="2182388"/>
                    </a:xfrm>
                    <a:prstGeom prst="rect">
                      <a:avLst/>
                    </a:prstGeom>
                  </pic:spPr>
                </pic:pic>
              </a:graphicData>
            </a:graphic>
          </wp:inline>
        </w:drawing>
      </w:r>
    </w:p>
    <w:p w14:paraId="4B4F396D" w14:textId="77777777" w:rsidR="00BE15A1" w:rsidRPr="00843C5C" w:rsidRDefault="00BE15A1" w:rsidP="00BE15A1">
      <w:pPr>
        <w:spacing w:after="120" w:line="360" w:lineRule="auto"/>
        <w:jc w:val="center"/>
        <w:rPr>
          <w:rFonts w:ascii="Times New Roman" w:eastAsia="Calibri" w:hAnsi="Times New Roman" w:cs="Times New Roman"/>
          <w:sz w:val="20"/>
          <w:szCs w:val="20"/>
        </w:rPr>
      </w:pPr>
      <w:r w:rsidRPr="00843C5C">
        <w:rPr>
          <w:rFonts w:ascii="Times New Roman" w:eastAsia="Calibri" w:hAnsi="Times New Roman" w:cs="Times New Roman"/>
          <w:sz w:val="20"/>
          <w:szCs w:val="20"/>
        </w:rPr>
        <w:t>Figura 1. Número de vainas y granos por planta.</w:t>
      </w:r>
    </w:p>
    <w:p w14:paraId="323E3879" w14:textId="145D40D9" w:rsidR="00623D78" w:rsidRPr="006C6A2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En la variedad Quivican, Peña </w:t>
      </w:r>
      <w:r w:rsidRPr="006C6A28">
        <w:rPr>
          <w:rFonts w:ascii="Times New Roman" w:eastAsia="Calibri" w:hAnsi="Times New Roman" w:cs="Times New Roman"/>
          <w:i/>
          <w:sz w:val="24"/>
          <w:szCs w:val="24"/>
        </w:rPr>
        <w:t>et al</w:t>
      </w:r>
      <w:r w:rsidRPr="006C6A28">
        <w:rPr>
          <w:rFonts w:ascii="Times New Roman" w:eastAsia="Calibri" w:hAnsi="Times New Roman" w:cs="Times New Roman"/>
          <w:sz w:val="24"/>
          <w:szCs w:val="24"/>
        </w:rPr>
        <w:t>. (2017),</w:t>
      </w:r>
      <w:r w:rsidR="00E013F4" w:rsidRPr="006C6A28">
        <w:rPr>
          <w:rFonts w:ascii="Times New Roman" w:eastAsia="Calibri" w:hAnsi="Times New Roman" w:cs="Times New Roman"/>
          <w:sz w:val="24"/>
          <w:szCs w:val="24"/>
        </w:rPr>
        <w:t xml:space="preserve"> </w:t>
      </w:r>
      <w:r w:rsidRPr="006C6A28">
        <w:rPr>
          <w:rFonts w:ascii="Times New Roman" w:eastAsia="Calibri" w:hAnsi="Times New Roman" w:cs="Times New Roman"/>
          <w:sz w:val="24"/>
          <w:szCs w:val="24"/>
        </w:rPr>
        <w:t>al aplicar diferentes dosis de un bioestimulante, reportaron un valor para este indicador de 7,48 legumbres por plantas en el tratamiento control y 16,90 legumbres por plantas en la dosis más elevada para el periodo óptimo, estos resultados superan los obtenidos en el trabajo debido a que la variedad utilizada se caracteriza por emitir un mayor número de vainas</w:t>
      </w:r>
      <w:r w:rsidR="00545113">
        <w:rPr>
          <w:rFonts w:ascii="Times New Roman" w:eastAsia="Calibri" w:hAnsi="Times New Roman" w:cs="Times New Roman"/>
          <w:sz w:val="24"/>
          <w:szCs w:val="24"/>
        </w:rPr>
        <w:t xml:space="preserve">. </w:t>
      </w:r>
      <w:r w:rsidRPr="006C6A28">
        <w:rPr>
          <w:rFonts w:ascii="Times New Roman" w:eastAsia="Calibri" w:hAnsi="Times New Roman" w:cs="Times New Roman"/>
          <w:i/>
          <w:sz w:val="24"/>
          <w:szCs w:val="24"/>
        </w:rPr>
        <w:t>Morales et al</w:t>
      </w:r>
      <w:r w:rsidRPr="006C6A28">
        <w:rPr>
          <w:rFonts w:ascii="Times New Roman" w:eastAsia="Calibri" w:hAnsi="Times New Roman" w:cs="Times New Roman"/>
          <w:sz w:val="24"/>
          <w:szCs w:val="24"/>
        </w:rPr>
        <w:t xml:space="preserve">. (2016) informaron que la aplicación de QuitoMax® a las plantas de frijol común estimula su crecimiento, y le proporcionan un mayor número de vainas </w:t>
      </w:r>
    </w:p>
    <w:p w14:paraId="18093A06" w14:textId="77777777" w:rsidR="00623D78" w:rsidRPr="006C6A2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lastRenderedPageBreak/>
        <w:t>Respuestas similares en cuanto al incremento del número de vainas por planta fueron encontradas al evaluar el efecto de la aplicación de Biobr</w:t>
      </w:r>
      <w:r w:rsidR="00E013F4" w:rsidRPr="006C6A28">
        <w:rPr>
          <w:rFonts w:ascii="Times New Roman" w:eastAsia="Calibri" w:hAnsi="Times New Roman" w:cs="Times New Roman"/>
          <w:sz w:val="24"/>
          <w:szCs w:val="24"/>
        </w:rPr>
        <w:t>as-16 en el cultivo del frijol</w:t>
      </w:r>
      <w:r w:rsidRPr="006C6A28">
        <w:rPr>
          <w:rFonts w:ascii="Times New Roman" w:eastAsia="Calibri" w:hAnsi="Times New Roman" w:cs="Times New Roman"/>
          <w:sz w:val="24"/>
          <w:szCs w:val="24"/>
        </w:rPr>
        <w:t xml:space="preserve"> (Rosabal </w:t>
      </w:r>
      <w:r w:rsidRPr="006C6A28">
        <w:rPr>
          <w:rFonts w:ascii="Times New Roman" w:eastAsia="Calibri" w:hAnsi="Times New Roman" w:cs="Times New Roman"/>
          <w:i/>
          <w:sz w:val="24"/>
          <w:szCs w:val="24"/>
        </w:rPr>
        <w:t>et al., 2018</w:t>
      </w:r>
      <w:r w:rsidRPr="006C6A28">
        <w:rPr>
          <w:rFonts w:ascii="Times New Roman" w:eastAsia="Calibri" w:hAnsi="Times New Roman" w:cs="Times New Roman"/>
          <w:sz w:val="24"/>
          <w:szCs w:val="24"/>
        </w:rPr>
        <w:t>)</w:t>
      </w:r>
    </w:p>
    <w:p w14:paraId="3503B745" w14:textId="240D35D4" w:rsidR="00623D78" w:rsidRPr="006C6A2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Aunque no se conoce totalmente el mecanismo de acción a través del cual el Quitomax® aumenta el crecimiento y la productividad de los cultivos, si se ha informado un efecto antitranspirante, su presencia causa el cierre estomático en las hojas y evita la pérdida de agua por transpiración, lo cual reduce el consumo de agua y regula su disponibilidad para los distintos procesos de la planta, siendo esto esencial en plantas C3 en beneficio de la fotosíntesis. A lo anterior se le debe adicionar </w:t>
      </w:r>
      <w:r w:rsidR="00545113">
        <w:rPr>
          <w:rFonts w:ascii="Times New Roman" w:eastAsia="Calibri" w:hAnsi="Times New Roman" w:cs="Times New Roman"/>
          <w:sz w:val="24"/>
          <w:szCs w:val="24"/>
        </w:rPr>
        <w:t>(</w:t>
      </w:r>
      <w:r w:rsidR="00545113" w:rsidRPr="006C6A28">
        <w:rPr>
          <w:rFonts w:ascii="Times New Roman" w:eastAsia="Calibri" w:hAnsi="Times New Roman" w:cs="Times New Roman"/>
          <w:sz w:val="24"/>
          <w:szCs w:val="24"/>
        </w:rPr>
        <w:t xml:space="preserve">según Fioreze </w:t>
      </w:r>
      <w:r w:rsidR="00545113" w:rsidRPr="006C6A28">
        <w:rPr>
          <w:rFonts w:ascii="Times New Roman" w:eastAsia="Calibri" w:hAnsi="Times New Roman" w:cs="Times New Roman"/>
          <w:i/>
          <w:sz w:val="24"/>
          <w:szCs w:val="24"/>
        </w:rPr>
        <w:t>et al</w:t>
      </w:r>
      <w:r w:rsidR="00545113" w:rsidRPr="006C6A28">
        <w:rPr>
          <w:rFonts w:ascii="Times New Roman" w:eastAsia="Calibri" w:hAnsi="Times New Roman" w:cs="Times New Roman"/>
          <w:sz w:val="24"/>
          <w:szCs w:val="24"/>
        </w:rPr>
        <w:t>. (2018)</w:t>
      </w:r>
      <w:r w:rsidR="00545113">
        <w:rPr>
          <w:rFonts w:ascii="Times New Roman" w:eastAsia="Calibri" w:hAnsi="Times New Roman" w:cs="Times New Roman"/>
          <w:sz w:val="24"/>
          <w:szCs w:val="24"/>
        </w:rPr>
        <w:t xml:space="preserve">), </w:t>
      </w:r>
      <w:r w:rsidRPr="006C6A28">
        <w:rPr>
          <w:rFonts w:ascii="Times New Roman" w:eastAsia="Calibri" w:hAnsi="Times New Roman" w:cs="Times New Roman"/>
          <w:sz w:val="24"/>
          <w:szCs w:val="24"/>
        </w:rPr>
        <w:t xml:space="preserve">el incremento encontrado, con la aplicación de quitosano, en el contenido de algunos nutrientes esenciales relacionados con el desarrollo vegetativo como el calcio, hierro y manganeso, lo que evidencia que al combinarlo con el </w:t>
      </w:r>
      <w:r w:rsidR="003B126C" w:rsidRPr="006C6A28">
        <w:rPr>
          <w:rFonts w:ascii="Times New Roman" w:eastAsia="Calibri" w:hAnsi="Times New Roman" w:cs="Times New Roman"/>
          <w:sz w:val="24"/>
          <w:szCs w:val="24"/>
        </w:rPr>
        <w:t>Azofert-F</w:t>
      </w:r>
      <w:r w:rsidR="008C474B" w:rsidRPr="006C6A28">
        <w:rPr>
          <w:rFonts w:ascii="Times New Roman" w:hAnsi="Times New Roman" w:cs="Times New Roman"/>
          <w:bCs/>
          <w:sz w:val="24"/>
          <w:szCs w:val="24"/>
        </w:rPr>
        <w:t>®</w:t>
      </w:r>
      <w:r w:rsidRPr="006C6A28">
        <w:rPr>
          <w:rFonts w:ascii="Times New Roman" w:eastAsia="Calibri" w:hAnsi="Times New Roman" w:cs="Times New Roman"/>
          <w:sz w:val="24"/>
          <w:szCs w:val="24"/>
        </w:rPr>
        <w:t>, que ejerce su acción fijadora de nutrientes, aumenta la disponibilidad y absorción de hierro y nitrógeno por la planta.</w:t>
      </w:r>
    </w:p>
    <w:p w14:paraId="6A9AA9A8" w14:textId="77777777" w:rsidR="00623D78" w:rsidRPr="006C6A2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El número de granos por plantas observado en el mismo </w:t>
      </w:r>
      <w:r w:rsidR="00627C91" w:rsidRPr="006C6A28">
        <w:rPr>
          <w:rFonts w:ascii="Times New Roman" w:eastAsia="Calibri" w:hAnsi="Times New Roman" w:cs="Times New Roman"/>
          <w:sz w:val="24"/>
          <w:szCs w:val="24"/>
        </w:rPr>
        <w:t>(Figura</w:t>
      </w:r>
      <w:r w:rsidRPr="006C6A28">
        <w:rPr>
          <w:rFonts w:ascii="Times New Roman" w:eastAsia="Calibri" w:hAnsi="Times New Roman" w:cs="Times New Roman"/>
          <w:sz w:val="24"/>
          <w:szCs w:val="24"/>
        </w:rPr>
        <w:t xml:space="preserve"> 2</w:t>
      </w:r>
      <w:r w:rsidR="00627C91" w:rsidRPr="006C6A28">
        <w:rPr>
          <w:rFonts w:ascii="Times New Roman" w:eastAsia="Calibri" w:hAnsi="Times New Roman" w:cs="Times New Roman"/>
          <w:sz w:val="24"/>
          <w:szCs w:val="24"/>
        </w:rPr>
        <w:t>)</w:t>
      </w:r>
      <w:r w:rsidRPr="006C6A28">
        <w:rPr>
          <w:rFonts w:ascii="Times New Roman" w:eastAsia="Calibri" w:hAnsi="Times New Roman" w:cs="Times New Roman"/>
          <w:sz w:val="24"/>
          <w:szCs w:val="24"/>
        </w:rPr>
        <w:t xml:space="preserve">. Refleja que los tratamientos (2, 3 y 4) no muestran diferencia entre ellos, pero si con el testigo (19.36) que exhibió los resultados inferiores. </w:t>
      </w:r>
    </w:p>
    <w:p w14:paraId="4A6B78D5" w14:textId="245A3358" w:rsidR="00623D7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Los valores del número de granos referidos por Peña </w:t>
      </w:r>
      <w:r w:rsidRPr="006C6A28">
        <w:rPr>
          <w:rFonts w:ascii="Times New Roman" w:eastAsia="Calibri" w:hAnsi="Times New Roman" w:cs="Times New Roman"/>
          <w:i/>
          <w:sz w:val="24"/>
          <w:szCs w:val="24"/>
        </w:rPr>
        <w:t>et al.</w:t>
      </w:r>
      <w:r w:rsidRPr="006C6A28">
        <w:rPr>
          <w:rFonts w:ascii="Times New Roman" w:eastAsia="Calibri" w:hAnsi="Times New Roman" w:cs="Times New Roman"/>
          <w:sz w:val="24"/>
          <w:szCs w:val="24"/>
        </w:rPr>
        <w:t xml:space="preserve"> (2017) con esta variedad</w:t>
      </w:r>
      <w:r w:rsidR="00FA0637">
        <w:rPr>
          <w:rFonts w:ascii="Times New Roman" w:eastAsia="Calibri" w:hAnsi="Times New Roman" w:cs="Times New Roman"/>
          <w:sz w:val="24"/>
          <w:szCs w:val="24"/>
        </w:rPr>
        <w:t>,</w:t>
      </w:r>
      <w:r w:rsidRPr="006C6A28">
        <w:rPr>
          <w:rFonts w:ascii="Times New Roman" w:eastAsia="Calibri" w:hAnsi="Times New Roman" w:cs="Times New Roman"/>
          <w:sz w:val="24"/>
          <w:szCs w:val="24"/>
        </w:rPr>
        <w:t xml:space="preserve"> fueron de 17.26 a 24.5 granos por plantas, </w:t>
      </w:r>
      <w:r w:rsidR="00FA0637">
        <w:rPr>
          <w:rFonts w:ascii="Times New Roman" w:eastAsia="Calibri" w:hAnsi="Times New Roman" w:cs="Times New Roman"/>
          <w:sz w:val="24"/>
          <w:szCs w:val="24"/>
        </w:rPr>
        <w:t>resultando</w:t>
      </w:r>
      <w:r w:rsidRPr="006C6A28">
        <w:rPr>
          <w:rFonts w:ascii="Times New Roman" w:eastAsia="Calibri" w:hAnsi="Times New Roman" w:cs="Times New Roman"/>
          <w:sz w:val="24"/>
          <w:szCs w:val="24"/>
        </w:rPr>
        <w:t xml:space="preserve"> inferiores a los alcanzados en esta experiencia en el tratamiento 4</w:t>
      </w:r>
      <w:r w:rsidR="00FA0637">
        <w:rPr>
          <w:rFonts w:ascii="Times New Roman" w:eastAsia="Calibri" w:hAnsi="Times New Roman" w:cs="Times New Roman"/>
          <w:sz w:val="24"/>
          <w:szCs w:val="24"/>
        </w:rPr>
        <w:t xml:space="preserve">, lo </w:t>
      </w:r>
      <w:r w:rsidRPr="006C6A28">
        <w:rPr>
          <w:rFonts w:ascii="Times New Roman" w:eastAsia="Calibri" w:hAnsi="Times New Roman" w:cs="Times New Roman"/>
          <w:sz w:val="24"/>
          <w:szCs w:val="24"/>
        </w:rPr>
        <w:t>que coincide con los obtenidos durante el periodo óptimo, sin embargo, en el periodo tardío los resultados son inferiores a todos los tratamientos empleados. Según Expósito y Viñals (2022), al evaluar 78 variedades de</w:t>
      </w:r>
      <w:r w:rsidR="003C3957" w:rsidRPr="006C6A28">
        <w:rPr>
          <w:rFonts w:ascii="Times New Roman" w:eastAsia="Calibri" w:hAnsi="Times New Roman" w:cs="Times New Roman"/>
          <w:sz w:val="24"/>
          <w:szCs w:val="24"/>
        </w:rPr>
        <w:t>l género</w:t>
      </w:r>
      <w:r w:rsidRPr="006C6A28">
        <w:rPr>
          <w:rFonts w:ascii="Times New Roman" w:eastAsia="Calibri" w:hAnsi="Times New Roman" w:cs="Times New Roman"/>
          <w:sz w:val="24"/>
          <w:szCs w:val="24"/>
        </w:rPr>
        <w:t xml:space="preserve"> </w:t>
      </w:r>
      <w:r w:rsidRPr="006C6A28">
        <w:rPr>
          <w:rFonts w:ascii="Times New Roman" w:eastAsia="Calibri" w:hAnsi="Times New Roman" w:cs="Times New Roman"/>
          <w:i/>
          <w:sz w:val="24"/>
          <w:szCs w:val="24"/>
        </w:rPr>
        <w:t>Phaseolus</w:t>
      </w:r>
      <w:r w:rsidRPr="006C6A28">
        <w:rPr>
          <w:rFonts w:ascii="Times New Roman" w:eastAsia="Calibri" w:hAnsi="Times New Roman" w:cs="Times New Roman"/>
          <w:sz w:val="24"/>
          <w:szCs w:val="24"/>
        </w:rPr>
        <w:t>, los resultados obtenidos en este indicador fueron de 13.65 a 21.6 granos por planta. Por eso queda demostrado que los bioinsumos empleados inciden sobre esta variable produciendo cambios significativos en la misma.</w:t>
      </w:r>
    </w:p>
    <w:p w14:paraId="7AFE0597" w14:textId="77777777" w:rsidR="00BE15A1" w:rsidRPr="006C6A28" w:rsidRDefault="00BE15A1" w:rsidP="00BE15A1">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Morales  </w:t>
      </w:r>
      <w:r w:rsidRPr="006C6A28">
        <w:rPr>
          <w:rFonts w:ascii="Times New Roman" w:eastAsia="Calibri" w:hAnsi="Times New Roman" w:cs="Times New Roman"/>
          <w:i/>
          <w:sz w:val="24"/>
          <w:szCs w:val="24"/>
        </w:rPr>
        <w:t>et al</w:t>
      </w:r>
      <w:r w:rsidRPr="006C6A28">
        <w:rPr>
          <w:rFonts w:ascii="Times New Roman" w:eastAsia="Calibri" w:hAnsi="Times New Roman" w:cs="Times New Roman"/>
          <w:sz w:val="24"/>
          <w:szCs w:val="24"/>
        </w:rPr>
        <w:t>. (2016) informaron que la aplicación de QuitoMax</w:t>
      </w:r>
      <w:r w:rsidRPr="006C6A28">
        <w:rPr>
          <w:rFonts w:ascii="Times New Roman" w:hAnsi="Times New Roman" w:cs="Times New Roman"/>
          <w:sz w:val="24"/>
          <w:szCs w:val="24"/>
        </w:rPr>
        <w:t>®</w:t>
      </w:r>
      <w:r w:rsidRPr="006C6A28">
        <w:rPr>
          <w:rFonts w:ascii="Times New Roman" w:eastAsia="Calibri" w:hAnsi="Times New Roman" w:cs="Times New Roman"/>
          <w:sz w:val="24"/>
          <w:szCs w:val="24"/>
        </w:rPr>
        <w:t xml:space="preserve"> a las plantas de frijol común estimula su crecimiento, y la combinación con micorrizas le proporcionan un mayor número de vainas y una mayor cantidad de granos por planta.</w:t>
      </w:r>
    </w:p>
    <w:p w14:paraId="7E29756D" w14:textId="77777777" w:rsidR="00BE15A1" w:rsidRPr="006C6A28" w:rsidRDefault="00BE15A1" w:rsidP="00BE15A1">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Resultados informados en otras leguminosas, con el empleo de diferentes concentraciones de quitosana añadidas al suelo, favorecieron el crecimiento y los rendimientos de plantas de frijol, además de elevar los contenidos de clorofilas, mejorar el retoño, la longitud de la raíz, los pesos frescos y secos de retoños y raíces y el área de las hojas (Sheikha, 2011).</w:t>
      </w:r>
    </w:p>
    <w:p w14:paraId="00E5A0F6" w14:textId="77777777" w:rsidR="00BE15A1" w:rsidRPr="006C6A28" w:rsidRDefault="00BE15A1" w:rsidP="00BE15A1">
      <w:pPr>
        <w:spacing w:after="120" w:line="360" w:lineRule="auto"/>
        <w:jc w:val="center"/>
        <w:rPr>
          <w:rFonts w:ascii="Times New Roman" w:eastAsia="Calibri" w:hAnsi="Times New Roman" w:cs="Times New Roman"/>
          <w:sz w:val="24"/>
          <w:szCs w:val="24"/>
        </w:rPr>
      </w:pPr>
      <w:r w:rsidRPr="006C6A28">
        <w:rPr>
          <w:rFonts w:ascii="Times New Roman" w:eastAsia="Calibri" w:hAnsi="Times New Roman" w:cs="Times New Roman"/>
          <w:noProof/>
          <w:sz w:val="24"/>
          <w:szCs w:val="24"/>
          <w:lang w:val="es-MX" w:eastAsia="es-MX"/>
        </w:rPr>
        <w:lastRenderedPageBreak/>
        <w:drawing>
          <wp:inline distT="0" distB="0" distL="0" distR="0" wp14:anchorId="70A8FAC8" wp14:editId="1DA9B47D">
            <wp:extent cx="3963670" cy="2021958"/>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84685" cy="2032678"/>
                    </a:xfrm>
                    <a:prstGeom prst="rect">
                      <a:avLst/>
                    </a:prstGeom>
                    <a:noFill/>
                  </pic:spPr>
                </pic:pic>
              </a:graphicData>
            </a:graphic>
          </wp:inline>
        </w:drawing>
      </w:r>
    </w:p>
    <w:p w14:paraId="045CA169" w14:textId="77777777" w:rsidR="00BE15A1" w:rsidRPr="00843C5C" w:rsidRDefault="00BE15A1" w:rsidP="00BE15A1">
      <w:pPr>
        <w:spacing w:after="120" w:line="360" w:lineRule="auto"/>
        <w:jc w:val="center"/>
        <w:rPr>
          <w:rFonts w:ascii="Times New Roman" w:hAnsi="Times New Roman" w:cs="Times New Roman"/>
          <w:noProof/>
          <w:sz w:val="20"/>
          <w:szCs w:val="20"/>
          <w:lang w:eastAsia="es-ES"/>
        </w:rPr>
      </w:pPr>
      <w:r w:rsidRPr="00843C5C">
        <w:rPr>
          <w:rFonts w:ascii="Times New Roman" w:eastAsia="Calibri" w:hAnsi="Times New Roman" w:cs="Times New Roman"/>
          <w:sz w:val="20"/>
          <w:szCs w:val="20"/>
        </w:rPr>
        <w:t>Figura 2. Peso de 100 granos (g).</w:t>
      </w:r>
    </w:p>
    <w:p w14:paraId="03B6AD25" w14:textId="71B6C2EE" w:rsidR="00623D78" w:rsidRPr="006C6A2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El peso de 100 granos en (g), que se muestra en el </w:t>
      </w:r>
      <w:r w:rsidR="00627C91" w:rsidRPr="006C6A28">
        <w:rPr>
          <w:rFonts w:ascii="Times New Roman" w:eastAsia="Calibri" w:hAnsi="Times New Roman" w:cs="Times New Roman"/>
          <w:sz w:val="24"/>
          <w:szCs w:val="24"/>
        </w:rPr>
        <w:t>Figura</w:t>
      </w:r>
      <w:r w:rsidRPr="006C6A28">
        <w:rPr>
          <w:rFonts w:ascii="Times New Roman" w:eastAsia="Calibri" w:hAnsi="Times New Roman" w:cs="Times New Roman"/>
          <w:sz w:val="24"/>
          <w:szCs w:val="24"/>
        </w:rPr>
        <w:t xml:space="preserve"> 2, donde el tratamiento 4, exhibe el mejor peso, difiriendo significativamente con el resto de los tratamientos evaluados, el testigo reflejo el menor peso (11.52).</w:t>
      </w:r>
    </w:p>
    <w:p w14:paraId="121D05A3" w14:textId="77777777" w:rsidR="00623D78" w:rsidRPr="006C6A2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Cardona </w:t>
      </w:r>
      <w:r w:rsidRPr="006C6A28">
        <w:rPr>
          <w:rFonts w:ascii="Times New Roman" w:eastAsia="Calibri" w:hAnsi="Times New Roman" w:cs="Times New Roman"/>
          <w:i/>
          <w:sz w:val="24"/>
          <w:szCs w:val="24"/>
        </w:rPr>
        <w:t>et al</w:t>
      </w:r>
      <w:r w:rsidRPr="006C6A28">
        <w:rPr>
          <w:rFonts w:ascii="Times New Roman" w:eastAsia="Calibri" w:hAnsi="Times New Roman" w:cs="Times New Roman"/>
          <w:sz w:val="24"/>
          <w:szCs w:val="24"/>
        </w:rPr>
        <w:t>., (2014) señalan que, para el peso de 100 granos, los valores se ubicaron entre 10,23 y 17,53 (g) durante la época lluviosa y entre 9,15 y 18,60 (g), durante la época seca, inferiores a los obtenidos en el trabajo.</w:t>
      </w:r>
    </w:p>
    <w:p w14:paraId="7E6E0398" w14:textId="31253624" w:rsidR="004130E5" w:rsidRPr="006C6A28" w:rsidRDefault="004130E5"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Con relación a la masa de 100 semillas, el Manual de Producción Sostenible de Frijol Común en Cuba (MINAG, 2018) reporta que la variedad Quivican puede alcanzar valores de 21 g, valor que supera los tratamientos evaluados, debido a la ejecución de una buena agrot</w:t>
      </w:r>
      <w:r w:rsidR="00FA0637">
        <w:rPr>
          <w:rFonts w:ascii="Times New Roman" w:eastAsia="Calibri" w:hAnsi="Times New Roman" w:cs="Times New Roman"/>
          <w:sz w:val="24"/>
          <w:szCs w:val="24"/>
        </w:rPr>
        <w:t>e</w:t>
      </w:r>
      <w:r w:rsidRPr="006C6A28">
        <w:rPr>
          <w:rFonts w:ascii="Times New Roman" w:eastAsia="Calibri" w:hAnsi="Times New Roman" w:cs="Times New Roman"/>
          <w:sz w:val="24"/>
          <w:szCs w:val="24"/>
        </w:rPr>
        <w:t>cnia, no existiendo diferencias signi</w:t>
      </w:r>
      <w:r w:rsidR="003C21C4" w:rsidRPr="006C6A28">
        <w:rPr>
          <w:rFonts w:ascii="Times New Roman" w:eastAsia="Calibri" w:hAnsi="Times New Roman" w:cs="Times New Roman"/>
          <w:sz w:val="24"/>
          <w:szCs w:val="24"/>
        </w:rPr>
        <w:t>fi</w:t>
      </w:r>
      <w:r w:rsidRPr="006C6A28">
        <w:rPr>
          <w:rFonts w:ascii="Times New Roman" w:eastAsia="Calibri" w:hAnsi="Times New Roman" w:cs="Times New Roman"/>
          <w:sz w:val="24"/>
          <w:szCs w:val="24"/>
        </w:rPr>
        <w:t xml:space="preserve">cativas entre los tratamientos durante ninguno de los dos periodos. Sin embargo, los resultados relejados superan todos los tratamientos reportados por Peña et al. (2017), aunque no </w:t>
      </w:r>
      <w:r w:rsidR="00FA0637">
        <w:rPr>
          <w:rFonts w:ascii="Times New Roman" w:eastAsia="Calibri" w:hAnsi="Times New Roman" w:cs="Times New Roman"/>
          <w:sz w:val="24"/>
          <w:szCs w:val="24"/>
        </w:rPr>
        <w:t>existieron</w:t>
      </w:r>
      <w:r w:rsidRPr="006C6A28">
        <w:rPr>
          <w:rFonts w:ascii="Times New Roman" w:eastAsia="Calibri" w:hAnsi="Times New Roman" w:cs="Times New Roman"/>
          <w:sz w:val="24"/>
          <w:szCs w:val="24"/>
        </w:rPr>
        <w:t xml:space="preserve"> diferencias entre los tratamientos aplicados en su trabajo.</w:t>
      </w:r>
    </w:p>
    <w:p w14:paraId="5D8CE610" w14:textId="1655A393" w:rsidR="004130E5" w:rsidRPr="006C6A28" w:rsidRDefault="004130E5"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Morales </w:t>
      </w:r>
      <w:r w:rsidRPr="006C6A28">
        <w:rPr>
          <w:rFonts w:ascii="Times New Roman" w:eastAsia="Calibri" w:hAnsi="Times New Roman" w:cs="Times New Roman"/>
          <w:i/>
          <w:sz w:val="24"/>
          <w:szCs w:val="24"/>
        </w:rPr>
        <w:t>et al.</w:t>
      </w:r>
      <w:r w:rsidRPr="006C6A28">
        <w:rPr>
          <w:rFonts w:ascii="Times New Roman" w:eastAsia="Calibri" w:hAnsi="Times New Roman" w:cs="Times New Roman"/>
          <w:sz w:val="24"/>
          <w:szCs w:val="24"/>
        </w:rPr>
        <w:t xml:space="preserve"> (2016) informaron que la aplicación de QuitoMax</w:t>
      </w:r>
      <w:r w:rsidR="00D32973" w:rsidRPr="006C6A28">
        <w:rPr>
          <w:rFonts w:ascii="Times New Roman" w:hAnsi="Times New Roman" w:cs="Times New Roman"/>
          <w:bCs/>
          <w:sz w:val="24"/>
          <w:szCs w:val="24"/>
        </w:rPr>
        <w:t>®</w:t>
      </w:r>
      <w:r w:rsidRPr="006C6A28">
        <w:rPr>
          <w:rFonts w:ascii="Times New Roman" w:eastAsia="Calibri" w:hAnsi="Times New Roman" w:cs="Times New Roman"/>
          <w:sz w:val="24"/>
          <w:szCs w:val="24"/>
        </w:rPr>
        <w:t xml:space="preserve"> a las plantas de frijol común</w:t>
      </w:r>
      <w:r w:rsidR="00935332">
        <w:rPr>
          <w:rFonts w:ascii="Times New Roman" w:eastAsia="Calibri" w:hAnsi="Times New Roman" w:cs="Times New Roman"/>
          <w:sz w:val="24"/>
          <w:szCs w:val="24"/>
        </w:rPr>
        <w:t>,</w:t>
      </w:r>
      <w:r w:rsidRPr="006C6A28">
        <w:rPr>
          <w:rFonts w:ascii="Times New Roman" w:eastAsia="Calibri" w:hAnsi="Times New Roman" w:cs="Times New Roman"/>
          <w:sz w:val="24"/>
          <w:szCs w:val="24"/>
        </w:rPr>
        <w:t xml:space="preserve"> estimula su crecimiento, y la combinación con micorrizas le proporcionan un mayor peso de granos</w:t>
      </w:r>
      <w:r w:rsidR="00935332">
        <w:rPr>
          <w:rFonts w:ascii="Times New Roman" w:eastAsia="Calibri" w:hAnsi="Times New Roman" w:cs="Times New Roman"/>
          <w:sz w:val="24"/>
          <w:szCs w:val="24"/>
        </w:rPr>
        <w:t xml:space="preserve"> </w:t>
      </w:r>
      <w:r w:rsidRPr="006C6A28">
        <w:rPr>
          <w:rFonts w:ascii="Times New Roman" w:eastAsia="Calibri" w:hAnsi="Times New Roman" w:cs="Times New Roman"/>
          <w:sz w:val="24"/>
          <w:szCs w:val="24"/>
        </w:rPr>
        <w:t>al analizar una muestra de 100 por tratamiento, lo que se traduce en un mayor rendimiento.</w:t>
      </w:r>
    </w:p>
    <w:p w14:paraId="59645248" w14:textId="7222744B" w:rsidR="00623D78" w:rsidRPr="006C6A2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Al evaluar el rendimiento obtenido</w:t>
      </w:r>
      <w:r w:rsidR="00BE15A1">
        <w:rPr>
          <w:rFonts w:ascii="Times New Roman" w:eastAsia="Calibri" w:hAnsi="Times New Roman" w:cs="Times New Roman"/>
          <w:sz w:val="24"/>
          <w:szCs w:val="24"/>
        </w:rPr>
        <w:t xml:space="preserve"> (figura 3)</w:t>
      </w:r>
      <w:r w:rsidRPr="006C6A28">
        <w:rPr>
          <w:rFonts w:ascii="Times New Roman" w:eastAsia="Calibri" w:hAnsi="Times New Roman" w:cs="Times New Roman"/>
          <w:sz w:val="24"/>
          <w:szCs w:val="24"/>
        </w:rPr>
        <w:t>, se logra el mayor en el tratamiento 4 (2.58 t.ha</w:t>
      </w:r>
      <w:r w:rsidRPr="006C6A28">
        <w:rPr>
          <w:rFonts w:ascii="Times New Roman" w:eastAsia="Calibri" w:hAnsi="Times New Roman" w:cs="Times New Roman"/>
          <w:sz w:val="24"/>
          <w:szCs w:val="24"/>
          <w:vertAlign w:val="superscript"/>
        </w:rPr>
        <w:t>-1</w:t>
      </w:r>
      <w:r w:rsidRPr="006C6A28">
        <w:rPr>
          <w:rFonts w:ascii="Times New Roman" w:eastAsia="Calibri" w:hAnsi="Times New Roman" w:cs="Times New Roman"/>
          <w:sz w:val="24"/>
          <w:szCs w:val="24"/>
        </w:rPr>
        <w:t xml:space="preserve">) donde se combinaron los bioinsumos QuitoMax® y </w:t>
      </w:r>
      <w:r w:rsidR="003B126C" w:rsidRPr="006C6A28">
        <w:rPr>
          <w:rFonts w:ascii="Times New Roman" w:eastAsia="Calibri" w:hAnsi="Times New Roman" w:cs="Times New Roman"/>
          <w:sz w:val="24"/>
          <w:szCs w:val="24"/>
        </w:rPr>
        <w:t>Azofert-F</w:t>
      </w:r>
      <w:r w:rsidR="007A67EB" w:rsidRPr="006C6A28">
        <w:rPr>
          <w:rFonts w:ascii="Times New Roman" w:hAnsi="Times New Roman" w:cs="Times New Roman"/>
          <w:bCs/>
          <w:sz w:val="24"/>
          <w:szCs w:val="24"/>
        </w:rPr>
        <w:t>®</w:t>
      </w:r>
      <w:r w:rsidRPr="006C6A28">
        <w:rPr>
          <w:rFonts w:ascii="Times New Roman" w:eastAsia="Calibri" w:hAnsi="Times New Roman" w:cs="Times New Roman"/>
          <w:sz w:val="24"/>
          <w:szCs w:val="24"/>
        </w:rPr>
        <w:t>, difiriendo significativamente del resto, el testigo solo mostró un rendimiento de 1.68 t.ha</w:t>
      </w:r>
      <w:r w:rsidRPr="006C6A28">
        <w:rPr>
          <w:rFonts w:ascii="Times New Roman" w:eastAsia="Calibri" w:hAnsi="Times New Roman" w:cs="Times New Roman"/>
          <w:sz w:val="24"/>
          <w:szCs w:val="24"/>
          <w:vertAlign w:val="superscript"/>
        </w:rPr>
        <w:t>-1</w:t>
      </w:r>
      <w:r w:rsidRPr="006C6A28">
        <w:rPr>
          <w:rFonts w:ascii="Times New Roman" w:eastAsia="Calibri" w:hAnsi="Times New Roman" w:cs="Times New Roman"/>
          <w:sz w:val="24"/>
          <w:szCs w:val="24"/>
        </w:rPr>
        <w:t xml:space="preserve">, estos resultados coinciden con los obtenidos en estudios realizados con la aplicación de estos bioproductos de Quintana (2007), Morales </w:t>
      </w:r>
      <w:r w:rsidRPr="006C6A28">
        <w:rPr>
          <w:rFonts w:ascii="Times New Roman" w:eastAsia="Calibri" w:hAnsi="Times New Roman" w:cs="Times New Roman"/>
          <w:i/>
          <w:sz w:val="24"/>
          <w:szCs w:val="24"/>
        </w:rPr>
        <w:t>et al</w:t>
      </w:r>
      <w:r w:rsidRPr="006C6A28">
        <w:rPr>
          <w:rFonts w:ascii="Times New Roman" w:eastAsia="Calibri" w:hAnsi="Times New Roman" w:cs="Times New Roman"/>
          <w:sz w:val="24"/>
          <w:szCs w:val="24"/>
        </w:rPr>
        <w:t xml:space="preserve">., (2016) y Torres </w:t>
      </w:r>
      <w:r w:rsidRPr="006C6A28">
        <w:rPr>
          <w:rFonts w:ascii="Times New Roman" w:eastAsia="Calibri" w:hAnsi="Times New Roman" w:cs="Times New Roman"/>
          <w:i/>
          <w:sz w:val="24"/>
          <w:szCs w:val="24"/>
        </w:rPr>
        <w:t>et al.,</w:t>
      </w:r>
      <w:r w:rsidRPr="006C6A28">
        <w:rPr>
          <w:rFonts w:ascii="Times New Roman" w:eastAsia="Calibri" w:hAnsi="Times New Roman" w:cs="Times New Roman"/>
          <w:sz w:val="24"/>
          <w:szCs w:val="24"/>
        </w:rPr>
        <w:t xml:space="preserve"> (2018).</w:t>
      </w:r>
    </w:p>
    <w:p w14:paraId="78B5842C" w14:textId="6FD62544" w:rsidR="00623D7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lastRenderedPageBreak/>
        <w:t>Según MINAG (2018) esta variedad tiene un potencial de rendimiento de 2,2 t ha</w:t>
      </w:r>
      <w:r w:rsidRPr="006C6A28">
        <w:rPr>
          <w:rFonts w:ascii="Times New Roman" w:eastAsia="Calibri" w:hAnsi="Times New Roman" w:cs="Times New Roman"/>
          <w:sz w:val="24"/>
          <w:szCs w:val="24"/>
          <w:vertAlign w:val="superscript"/>
        </w:rPr>
        <w:t>-1</w:t>
      </w:r>
      <w:r w:rsidRPr="006C6A28">
        <w:rPr>
          <w:rFonts w:ascii="Times New Roman" w:eastAsia="Calibri" w:hAnsi="Times New Roman" w:cs="Times New Roman"/>
          <w:sz w:val="24"/>
          <w:szCs w:val="24"/>
        </w:rPr>
        <w:t>, valor que fue superado por los tratamientos 3 y 4 cuando las semillas fueron tratadas con Quitomax</w:t>
      </w:r>
      <w:r w:rsidR="009833DA" w:rsidRPr="006C6A28">
        <w:rPr>
          <w:rFonts w:ascii="Times New Roman" w:eastAsia="Calibri" w:hAnsi="Times New Roman" w:cs="Times New Roman"/>
          <w:sz w:val="24"/>
          <w:szCs w:val="24"/>
        </w:rPr>
        <w:t>®</w:t>
      </w:r>
      <w:r w:rsidRPr="006C6A28">
        <w:rPr>
          <w:rFonts w:ascii="Times New Roman" w:eastAsia="Calibri" w:hAnsi="Times New Roman" w:cs="Times New Roman"/>
          <w:sz w:val="24"/>
          <w:szCs w:val="24"/>
        </w:rPr>
        <w:t xml:space="preserve"> en el pri</w:t>
      </w:r>
      <w:r w:rsidR="009833DA" w:rsidRPr="006C6A28">
        <w:rPr>
          <w:rFonts w:ascii="Times New Roman" w:eastAsia="Calibri" w:hAnsi="Times New Roman" w:cs="Times New Roman"/>
          <w:sz w:val="24"/>
          <w:szCs w:val="24"/>
        </w:rPr>
        <w:t>mer caso y su combinación con Az</w:t>
      </w:r>
      <w:r w:rsidRPr="006C6A28">
        <w:rPr>
          <w:rFonts w:ascii="Times New Roman" w:eastAsia="Calibri" w:hAnsi="Times New Roman" w:cs="Times New Roman"/>
          <w:sz w:val="24"/>
          <w:szCs w:val="24"/>
        </w:rPr>
        <w:t>ofert</w:t>
      </w:r>
      <w:r w:rsidR="009833DA" w:rsidRPr="006C6A28">
        <w:rPr>
          <w:rFonts w:ascii="Times New Roman" w:eastAsia="Calibri" w:hAnsi="Times New Roman" w:cs="Times New Roman"/>
          <w:sz w:val="24"/>
          <w:szCs w:val="24"/>
        </w:rPr>
        <w:t>-F</w:t>
      </w:r>
      <w:r w:rsidR="007A67EB" w:rsidRPr="006C6A28">
        <w:rPr>
          <w:rFonts w:ascii="Times New Roman" w:hAnsi="Times New Roman" w:cs="Times New Roman"/>
          <w:bCs/>
          <w:sz w:val="24"/>
          <w:szCs w:val="24"/>
        </w:rPr>
        <w:t>®</w:t>
      </w:r>
      <w:r w:rsidR="00022FD1">
        <w:rPr>
          <w:rFonts w:ascii="Times New Roman" w:hAnsi="Times New Roman" w:cs="Times New Roman"/>
          <w:bCs/>
          <w:sz w:val="24"/>
          <w:szCs w:val="24"/>
        </w:rPr>
        <w:t>,</w:t>
      </w:r>
      <w:r w:rsidR="007A67EB" w:rsidRPr="006C6A28">
        <w:rPr>
          <w:rFonts w:ascii="Times New Roman" w:hAnsi="Times New Roman" w:cs="Times New Roman"/>
          <w:bCs/>
          <w:sz w:val="24"/>
          <w:szCs w:val="24"/>
        </w:rPr>
        <w:t xml:space="preserve"> </w:t>
      </w:r>
      <w:r w:rsidRPr="006C6A28">
        <w:rPr>
          <w:rFonts w:ascii="Times New Roman" w:eastAsia="Calibri" w:hAnsi="Times New Roman" w:cs="Times New Roman"/>
          <w:sz w:val="24"/>
          <w:szCs w:val="24"/>
        </w:rPr>
        <w:t>en el segundo. Por otro lado, Pérez (2017)</w:t>
      </w:r>
      <w:r w:rsidR="00022FD1">
        <w:rPr>
          <w:rFonts w:ascii="Times New Roman" w:eastAsia="Calibri" w:hAnsi="Times New Roman" w:cs="Times New Roman"/>
          <w:sz w:val="24"/>
          <w:szCs w:val="24"/>
        </w:rPr>
        <w:t>,</w:t>
      </w:r>
      <w:r w:rsidRPr="006C6A28">
        <w:rPr>
          <w:rFonts w:ascii="Times New Roman" w:eastAsia="Calibri" w:hAnsi="Times New Roman" w:cs="Times New Roman"/>
          <w:sz w:val="24"/>
          <w:szCs w:val="24"/>
        </w:rPr>
        <w:t xml:space="preserve"> reporta rendimiento</w:t>
      </w:r>
      <w:r w:rsidR="00022FD1">
        <w:rPr>
          <w:rFonts w:ascii="Times New Roman" w:eastAsia="Calibri" w:hAnsi="Times New Roman" w:cs="Times New Roman"/>
          <w:sz w:val="24"/>
          <w:szCs w:val="24"/>
        </w:rPr>
        <w:t>s</w:t>
      </w:r>
      <w:r w:rsidRPr="006C6A28">
        <w:rPr>
          <w:rFonts w:ascii="Times New Roman" w:eastAsia="Calibri" w:hAnsi="Times New Roman" w:cs="Times New Roman"/>
          <w:sz w:val="24"/>
          <w:szCs w:val="24"/>
        </w:rPr>
        <w:t xml:space="preserve"> de hasta 2,3 t ha</w:t>
      </w:r>
      <w:r w:rsidRPr="006C6A28">
        <w:rPr>
          <w:rFonts w:ascii="Times New Roman" w:eastAsia="Calibri" w:hAnsi="Times New Roman" w:cs="Times New Roman"/>
          <w:sz w:val="24"/>
          <w:szCs w:val="24"/>
          <w:vertAlign w:val="superscript"/>
        </w:rPr>
        <w:t>-1</w:t>
      </w:r>
      <w:r w:rsidRPr="006C6A28">
        <w:rPr>
          <w:rFonts w:ascii="Times New Roman" w:eastAsia="Calibri" w:hAnsi="Times New Roman" w:cs="Times New Roman"/>
          <w:sz w:val="24"/>
          <w:szCs w:val="24"/>
        </w:rPr>
        <w:t xml:space="preserve"> en esta variedad</w:t>
      </w:r>
      <w:r w:rsidR="00022FD1">
        <w:rPr>
          <w:rFonts w:ascii="Times New Roman" w:eastAsia="Calibri" w:hAnsi="Times New Roman" w:cs="Times New Roman"/>
          <w:sz w:val="24"/>
          <w:szCs w:val="24"/>
        </w:rPr>
        <w:t>,</w:t>
      </w:r>
      <w:r w:rsidRPr="006C6A28">
        <w:rPr>
          <w:rFonts w:ascii="Times New Roman" w:eastAsia="Calibri" w:hAnsi="Times New Roman" w:cs="Times New Roman"/>
          <w:sz w:val="24"/>
          <w:szCs w:val="24"/>
        </w:rPr>
        <w:t xml:space="preserve"> lo</w:t>
      </w:r>
      <w:r w:rsidR="00022FD1">
        <w:rPr>
          <w:rFonts w:ascii="Times New Roman" w:eastAsia="Calibri" w:hAnsi="Times New Roman" w:cs="Times New Roman"/>
          <w:sz w:val="24"/>
          <w:szCs w:val="24"/>
        </w:rPr>
        <w:t>s cuales resultan</w:t>
      </w:r>
      <w:r w:rsidRPr="006C6A28">
        <w:rPr>
          <w:rFonts w:ascii="Times New Roman" w:eastAsia="Calibri" w:hAnsi="Times New Roman" w:cs="Times New Roman"/>
          <w:sz w:val="24"/>
          <w:szCs w:val="24"/>
        </w:rPr>
        <w:t xml:space="preserve"> superiores a los resultados de esta experiencia cuando se aplicó </w:t>
      </w:r>
      <w:r w:rsidR="003B126C" w:rsidRPr="006C6A28">
        <w:rPr>
          <w:rFonts w:ascii="Times New Roman" w:eastAsia="Calibri" w:hAnsi="Times New Roman" w:cs="Times New Roman"/>
          <w:sz w:val="24"/>
          <w:szCs w:val="24"/>
        </w:rPr>
        <w:t>Azofert-F</w:t>
      </w:r>
      <w:r w:rsidR="00FA318B" w:rsidRPr="006C6A28">
        <w:rPr>
          <w:rFonts w:ascii="Times New Roman" w:hAnsi="Times New Roman" w:cs="Times New Roman"/>
          <w:bCs/>
          <w:sz w:val="24"/>
          <w:szCs w:val="24"/>
        </w:rPr>
        <w:t xml:space="preserve">® </w:t>
      </w:r>
      <w:r w:rsidRPr="006C6A28">
        <w:rPr>
          <w:rFonts w:ascii="Times New Roman" w:eastAsia="Calibri" w:hAnsi="Times New Roman" w:cs="Times New Roman"/>
          <w:sz w:val="24"/>
          <w:szCs w:val="24"/>
        </w:rPr>
        <w:t xml:space="preserve"> y cuando se aplicó QuitoMax</w:t>
      </w:r>
      <w:r w:rsidR="009833DA" w:rsidRPr="006C6A28">
        <w:rPr>
          <w:rFonts w:ascii="Times New Roman" w:eastAsia="Calibri" w:hAnsi="Times New Roman" w:cs="Times New Roman"/>
          <w:sz w:val="24"/>
          <w:szCs w:val="24"/>
        </w:rPr>
        <w:t>®</w:t>
      </w:r>
      <w:r w:rsidRPr="006C6A28">
        <w:rPr>
          <w:rFonts w:ascii="Times New Roman" w:eastAsia="Calibri" w:hAnsi="Times New Roman" w:cs="Times New Roman"/>
          <w:sz w:val="24"/>
          <w:szCs w:val="24"/>
        </w:rPr>
        <w:t xml:space="preserve">, pero similares al tratamiento donde se combinaron los bioinsumos. A la vez, Viñals </w:t>
      </w:r>
      <w:r w:rsidRPr="006C6A28">
        <w:rPr>
          <w:rFonts w:ascii="Times New Roman" w:eastAsia="Calibri" w:hAnsi="Times New Roman" w:cs="Times New Roman"/>
          <w:i/>
          <w:sz w:val="24"/>
          <w:szCs w:val="24"/>
        </w:rPr>
        <w:t>et al</w:t>
      </w:r>
      <w:r w:rsidRPr="006C6A28">
        <w:rPr>
          <w:rFonts w:ascii="Times New Roman" w:eastAsia="Calibri" w:hAnsi="Times New Roman" w:cs="Times New Roman"/>
          <w:sz w:val="24"/>
          <w:szCs w:val="24"/>
        </w:rPr>
        <w:t>. (2022) reportan que la siembra de varios cultivares de frijol, entre los que se incluye Quivican, se ve</w:t>
      </w:r>
      <w:r w:rsidR="00022FD1">
        <w:rPr>
          <w:rFonts w:ascii="Times New Roman" w:eastAsia="Calibri" w:hAnsi="Times New Roman" w:cs="Times New Roman"/>
          <w:sz w:val="24"/>
          <w:szCs w:val="24"/>
        </w:rPr>
        <w:t>n</w:t>
      </w:r>
      <w:r w:rsidRPr="006C6A28">
        <w:rPr>
          <w:rFonts w:ascii="Times New Roman" w:eastAsia="Calibri" w:hAnsi="Times New Roman" w:cs="Times New Roman"/>
          <w:sz w:val="24"/>
          <w:szCs w:val="24"/>
        </w:rPr>
        <w:t xml:space="preserve"> seriamente afectado</w:t>
      </w:r>
      <w:r w:rsidR="00022FD1">
        <w:rPr>
          <w:rFonts w:ascii="Times New Roman" w:eastAsia="Calibri" w:hAnsi="Times New Roman" w:cs="Times New Roman"/>
          <w:sz w:val="24"/>
          <w:szCs w:val="24"/>
        </w:rPr>
        <w:t>s</w:t>
      </w:r>
      <w:r w:rsidRPr="006C6A28">
        <w:rPr>
          <w:rFonts w:ascii="Times New Roman" w:eastAsia="Calibri" w:hAnsi="Times New Roman" w:cs="Times New Roman"/>
          <w:sz w:val="24"/>
          <w:szCs w:val="24"/>
        </w:rPr>
        <w:t xml:space="preserve"> entre un periodo óptimo y un periodo tardío con afectaciones que varían de 0,64 t ha</w:t>
      </w:r>
      <w:r w:rsidRPr="006C6A28">
        <w:rPr>
          <w:rFonts w:ascii="Times New Roman" w:eastAsia="Calibri" w:hAnsi="Times New Roman" w:cs="Times New Roman"/>
          <w:sz w:val="24"/>
          <w:szCs w:val="24"/>
          <w:vertAlign w:val="superscript"/>
        </w:rPr>
        <w:t xml:space="preserve">-1 </w:t>
      </w:r>
      <w:r w:rsidRPr="006C6A28">
        <w:rPr>
          <w:rFonts w:ascii="Times New Roman" w:eastAsia="Calibri" w:hAnsi="Times New Roman" w:cs="Times New Roman"/>
          <w:sz w:val="24"/>
          <w:szCs w:val="24"/>
        </w:rPr>
        <w:t>para un periodo normal y 0,32 t ha</w:t>
      </w:r>
      <w:r w:rsidRPr="006C6A28">
        <w:rPr>
          <w:rFonts w:ascii="Times New Roman" w:eastAsia="Calibri" w:hAnsi="Times New Roman" w:cs="Times New Roman"/>
          <w:sz w:val="24"/>
          <w:szCs w:val="24"/>
          <w:vertAlign w:val="superscript"/>
        </w:rPr>
        <w:t>-1</w:t>
      </w:r>
      <w:r w:rsidRPr="006C6A28">
        <w:rPr>
          <w:rFonts w:ascii="Times New Roman" w:eastAsia="Calibri" w:hAnsi="Times New Roman" w:cs="Times New Roman"/>
          <w:sz w:val="24"/>
          <w:szCs w:val="24"/>
        </w:rPr>
        <w:t xml:space="preserve"> para uno tardío en la provincia de Pinar del Rio.</w:t>
      </w:r>
    </w:p>
    <w:p w14:paraId="64673319" w14:textId="77777777" w:rsidR="00BE15A1" w:rsidRPr="006C6A28" w:rsidRDefault="00BE15A1" w:rsidP="00BE15A1">
      <w:pPr>
        <w:spacing w:after="120" w:line="360" w:lineRule="auto"/>
        <w:jc w:val="center"/>
        <w:rPr>
          <w:rFonts w:ascii="Times New Roman" w:eastAsia="Calibri" w:hAnsi="Times New Roman" w:cs="Times New Roman"/>
          <w:sz w:val="24"/>
          <w:szCs w:val="24"/>
        </w:rPr>
      </w:pPr>
      <w:r w:rsidRPr="006C6A28">
        <w:rPr>
          <w:rFonts w:ascii="Times New Roman" w:eastAsia="Calibri" w:hAnsi="Times New Roman" w:cs="Times New Roman"/>
          <w:noProof/>
          <w:sz w:val="24"/>
          <w:szCs w:val="24"/>
          <w:lang w:val="es-MX" w:eastAsia="es-MX"/>
        </w:rPr>
        <w:drawing>
          <wp:inline distT="0" distB="0" distL="0" distR="0" wp14:anchorId="7E1E5CBC" wp14:editId="6DD881CB">
            <wp:extent cx="3821392" cy="1724161"/>
            <wp:effectExtent l="19050" t="0" r="7658"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52507" cy="1738200"/>
                    </a:xfrm>
                    <a:prstGeom prst="rect">
                      <a:avLst/>
                    </a:prstGeom>
                    <a:noFill/>
                  </pic:spPr>
                </pic:pic>
              </a:graphicData>
            </a:graphic>
          </wp:inline>
        </w:drawing>
      </w:r>
    </w:p>
    <w:p w14:paraId="66203F04" w14:textId="77777777" w:rsidR="00BE15A1" w:rsidRPr="00843C5C" w:rsidRDefault="00BE15A1" w:rsidP="00BE15A1">
      <w:pPr>
        <w:spacing w:after="120" w:line="360" w:lineRule="auto"/>
        <w:jc w:val="center"/>
        <w:rPr>
          <w:rFonts w:ascii="Times New Roman" w:eastAsia="Calibri" w:hAnsi="Times New Roman" w:cs="Times New Roman"/>
          <w:sz w:val="20"/>
          <w:szCs w:val="20"/>
        </w:rPr>
      </w:pPr>
      <w:r w:rsidRPr="00843C5C">
        <w:rPr>
          <w:rFonts w:ascii="Times New Roman" w:eastAsia="Calibri" w:hAnsi="Times New Roman" w:cs="Times New Roman"/>
          <w:sz w:val="20"/>
          <w:szCs w:val="20"/>
        </w:rPr>
        <w:t>Figura 3. Rendimiento (t ha</w:t>
      </w:r>
      <w:r w:rsidRPr="00843C5C">
        <w:rPr>
          <w:rFonts w:ascii="Times New Roman" w:eastAsia="Calibri" w:hAnsi="Times New Roman" w:cs="Times New Roman"/>
          <w:sz w:val="20"/>
          <w:szCs w:val="20"/>
          <w:vertAlign w:val="superscript"/>
        </w:rPr>
        <w:t>-1</w:t>
      </w:r>
      <w:r w:rsidRPr="00843C5C">
        <w:rPr>
          <w:rFonts w:ascii="Times New Roman" w:eastAsia="Calibri" w:hAnsi="Times New Roman" w:cs="Times New Roman"/>
          <w:sz w:val="20"/>
          <w:szCs w:val="20"/>
        </w:rPr>
        <w:t>).</w:t>
      </w:r>
    </w:p>
    <w:p w14:paraId="669C7B07" w14:textId="35CFA53F" w:rsidR="00623D78" w:rsidRPr="006C6A2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Rivera </w:t>
      </w:r>
      <w:r w:rsidRPr="006C6A28">
        <w:rPr>
          <w:rFonts w:ascii="Times New Roman" w:eastAsia="Calibri" w:hAnsi="Times New Roman" w:cs="Times New Roman"/>
          <w:i/>
          <w:sz w:val="24"/>
          <w:szCs w:val="24"/>
        </w:rPr>
        <w:t>et al</w:t>
      </w:r>
      <w:r w:rsidRPr="006C6A28">
        <w:rPr>
          <w:rFonts w:ascii="Times New Roman" w:eastAsia="Calibri" w:hAnsi="Times New Roman" w:cs="Times New Roman"/>
          <w:sz w:val="24"/>
          <w:szCs w:val="24"/>
        </w:rPr>
        <w:t>. (2015) informaron que la inoculación de semillas de frijol común con EcoMic</w:t>
      </w:r>
      <w:r w:rsidR="001A0132" w:rsidRPr="006C6A28">
        <w:rPr>
          <w:rFonts w:ascii="Times New Roman" w:hAnsi="Times New Roman" w:cs="Times New Roman"/>
          <w:bCs/>
          <w:sz w:val="24"/>
          <w:szCs w:val="24"/>
        </w:rPr>
        <w:t>®</w:t>
      </w:r>
      <w:r w:rsidRPr="006C6A28">
        <w:rPr>
          <w:rFonts w:ascii="Times New Roman" w:eastAsia="Calibri" w:hAnsi="Times New Roman" w:cs="Times New Roman"/>
          <w:sz w:val="24"/>
          <w:szCs w:val="24"/>
        </w:rPr>
        <w:t xml:space="preserve"> (HMA) y </w:t>
      </w:r>
      <w:r w:rsidR="003B126C" w:rsidRPr="006C6A28">
        <w:rPr>
          <w:rFonts w:ascii="Times New Roman" w:eastAsia="Calibri" w:hAnsi="Times New Roman" w:cs="Times New Roman"/>
          <w:sz w:val="24"/>
          <w:szCs w:val="24"/>
        </w:rPr>
        <w:t>Azofert-</w:t>
      </w:r>
      <w:r w:rsidRPr="006C6A28">
        <w:rPr>
          <w:rFonts w:ascii="Times New Roman" w:eastAsia="Calibri" w:hAnsi="Times New Roman" w:cs="Times New Roman"/>
          <w:sz w:val="24"/>
          <w:szCs w:val="24"/>
        </w:rPr>
        <w:t>F y la aspersión foliar de las plantas con bioestimulantes tales como QuitoMax</w:t>
      </w:r>
      <w:r w:rsidR="009833DA" w:rsidRPr="006C6A28">
        <w:rPr>
          <w:rFonts w:ascii="Times New Roman" w:eastAsia="Calibri" w:hAnsi="Times New Roman" w:cs="Times New Roman"/>
          <w:sz w:val="24"/>
          <w:szCs w:val="24"/>
        </w:rPr>
        <w:t>®</w:t>
      </w:r>
      <w:r w:rsidRPr="006C6A28">
        <w:rPr>
          <w:rFonts w:ascii="Times New Roman" w:eastAsia="Calibri" w:hAnsi="Times New Roman" w:cs="Times New Roman"/>
          <w:sz w:val="24"/>
          <w:szCs w:val="24"/>
        </w:rPr>
        <w:t xml:space="preserve">, Fitomasó Biobras-16 estimulan significativamente el rendimiento del cultivo de frijol común. En hortalizas tales como lechuga, habichuela y tomate, Terry </w:t>
      </w:r>
      <w:r w:rsidRPr="006C6A28">
        <w:rPr>
          <w:rFonts w:ascii="Times New Roman" w:eastAsia="Calibri" w:hAnsi="Times New Roman" w:cs="Times New Roman"/>
          <w:i/>
          <w:sz w:val="24"/>
          <w:szCs w:val="24"/>
        </w:rPr>
        <w:t>et al.</w:t>
      </w:r>
      <w:r w:rsidRPr="006C6A28">
        <w:rPr>
          <w:rFonts w:ascii="Times New Roman" w:eastAsia="Calibri" w:hAnsi="Times New Roman" w:cs="Times New Roman"/>
          <w:sz w:val="24"/>
          <w:szCs w:val="24"/>
        </w:rPr>
        <w:t xml:space="preserve"> (2014) informaron, también, incrementos en el rendimiento con la inoculación de HMA en combinación con la aspersión foliar de Biobras-16®.</w:t>
      </w:r>
    </w:p>
    <w:p w14:paraId="1C289CE1" w14:textId="77777777" w:rsidR="00623D78" w:rsidRPr="006C6A2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Respuestas similares en cuanto al incremento del rendimiento, fueron informadas al evaluar el efecto de la aplicación de Biobras-16 en el cultivo del frijol (Rosabal </w:t>
      </w:r>
      <w:r w:rsidRPr="006C6A28">
        <w:rPr>
          <w:rFonts w:ascii="Times New Roman" w:eastAsia="Calibri" w:hAnsi="Times New Roman" w:cs="Times New Roman"/>
          <w:i/>
          <w:sz w:val="24"/>
          <w:szCs w:val="24"/>
        </w:rPr>
        <w:t xml:space="preserve">et al., </w:t>
      </w:r>
      <w:r w:rsidRPr="006C6A28">
        <w:rPr>
          <w:rFonts w:ascii="Times New Roman" w:eastAsia="Calibri" w:hAnsi="Times New Roman" w:cs="Times New Roman"/>
          <w:sz w:val="24"/>
          <w:szCs w:val="24"/>
        </w:rPr>
        <w:t>2017). También se ha señalado que las condiciones de sequía en el suelo producen una disminución significativa de los componentes del rendimiento asociados a la producción de granos y legumbres; así como, en el rendimiento agrícola en el cultivo del frijol (Boudet</w:t>
      </w:r>
      <w:r w:rsidR="004D577B" w:rsidRPr="006C6A28">
        <w:rPr>
          <w:rFonts w:ascii="Times New Roman" w:eastAsia="Calibri" w:hAnsi="Times New Roman" w:cs="Times New Roman"/>
          <w:sz w:val="24"/>
          <w:szCs w:val="24"/>
        </w:rPr>
        <w:t xml:space="preserve"> </w:t>
      </w:r>
      <w:r w:rsidRPr="006C6A28">
        <w:rPr>
          <w:rFonts w:ascii="Times New Roman" w:eastAsia="Calibri" w:hAnsi="Times New Roman" w:cs="Times New Roman"/>
          <w:i/>
          <w:sz w:val="24"/>
          <w:szCs w:val="24"/>
        </w:rPr>
        <w:t>et al.</w:t>
      </w:r>
      <w:r w:rsidRPr="006C6A28">
        <w:rPr>
          <w:rFonts w:ascii="Times New Roman" w:eastAsia="Calibri" w:hAnsi="Times New Roman" w:cs="Times New Roman"/>
          <w:sz w:val="24"/>
          <w:szCs w:val="24"/>
        </w:rPr>
        <w:t>,2017 y Meriño</w:t>
      </w:r>
      <w:r w:rsidR="004D577B" w:rsidRPr="006C6A28">
        <w:rPr>
          <w:rFonts w:ascii="Times New Roman" w:eastAsia="Calibri" w:hAnsi="Times New Roman" w:cs="Times New Roman"/>
          <w:sz w:val="24"/>
          <w:szCs w:val="24"/>
        </w:rPr>
        <w:t xml:space="preserve"> </w:t>
      </w:r>
      <w:r w:rsidRPr="006C6A28">
        <w:rPr>
          <w:rFonts w:ascii="Times New Roman" w:eastAsia="Calibri" w:hAnsi="Times New Roman" w:cs="Times New Roman"/>
          <w:i/>
          <w:sz w:val="24"/>
          <w:szCs w:val="24"/>
        </w:rPr>
        <w:t xml:space="preserve">et al., </w:t>
      </w:r>
      <w:r w:rsidRPr="006C6A28">
        <w:rPr>
          <w:rFonts w:ascii="Times New Roman" w:eastAsia="Calibri" w:hAnsi="Times New Roman" w:cs="Times New Roman"/>
          <w:sz w:val="24"/>
          <w:szCs w:val="24"/>
        </w:rPr>
        <w:t>2017).</w:t>
      </w:r>
    </w:p>
    <w:p w14:paraId="19420ACB" w14:textId="09C62899" w:rsidR="00623D78" w:rsidRPr="006C6A28" w:rsidRDefault="00623D78" w:rsidP="0040344E">
      <w:pPr>
        <w:spacing w:after="120" w:line="360" w:lineRule="auto"/>
        <w:jc w:val="both"/>
        <w:rPr>
          <w:rFonts w:ascii="Times New Roman" w:eastAsia="Calibri" w:hAnsi="Times New Roman" w:cs="Times New Roman"/>
          <w:sz w:val="24"/>
          <w:szCs w:val="24"/>
        </w:rPr>
      </w:pPr>
      <w:r w:rsidRPr="006C6A28">
        <w:rPr>
          <w:rFonts w:ascii="Times New Roman" w:eastAsia="Calibri" w:hAnsi="Times New Roman" w:cs="Times New Roman"/>
          <w:sz w:val="24"/>
          <w:szCs w:val="24"/>
        </w:rPr>
        <w:t xml:space="preserve">Valorar económicamente los resultados alcanzados es un análisis de suma importancia, ya que permite desarrollar una estrategia de inversión, </w:t>
      </w:r>
      <w:r w:rsidR="00843C5C">
        <w:rPr>
          <w:rFonts w:ascii="Times New Roman" w:eastAsia="Calibri" w:hAnsi="Times New Roman" w:cs="Times New Roman"/>
          <w:sz w:val="24"/>
          <w:szCs w:val="24"/>
        </w:rPr>
        <w:t xml:space="preserve">con respecto a lo antes mencionado, </w:t>
      </w:r>
      <w:r w:rsidRPr="006C6A28">
        <w:rPr>
          <w:rFonts w:ascii="Times New Roman" w:eastAsia="Calibri" w:hAnsi="Times New Roman" w:cs="Times New Roman"/>
          <w:sz w:val="24"/>
          <w:szCs w:val="24"/>
        </w:rPr>
        <w:t xml:space="preserve">se observa </w:t>
      </w:r>
      <w:r w:rsidRPr="006C6A28">
        <w:rPr>
          <w:rFonts w:ascii="Times New Roman" w:eastAsia="Calibri" w:hAnsi="Times New Roman" w:cs="Times New Roman"/>
          <w:sz w:val="24"/>
          <w:szCs w:val="24"/>
        </w:rPr>
        <w:lastRenderedPageBreak/>
        <w:t>que todos los tratamientos obtienen ganancias, siendo superiores cuando aplicamos algún bioinsumo; el tratamiento 4</w:t>
      </w:r>
      <w:r w:rsidR="00843C5C">
        <w:rPr>
          <w:rFonts w:ascii="Times New Roman" w:eastAsia="Calibri" w:hAnsi="Times New Roman" w:cs="Times New Roman"/>
          <w:sz w:val="24"/>
          <w:szCs w:val="24"/>
        </w:rPr>
        <w:t xml:space="preserve"> </w:t>
      </w:r>
      <w:r w:rsidRPr="006C6A28">
        <w:rPr>
          <w:rFonts w:ascii="Times New Roman" w:eastAsia="Calibri" w:hAnsi="Times New Roman" w:cs="Times New Roman"/>
          <w:sz w:val="24"/>
          <w:szCs w:val="24"/>
        </w:rPr>
        <w:t xml:space="preserve">(combinación de QuitoMax® y </w:t>
      </w:r>
      <w:r w:rsidR="003B126C" w:rsidRPr="006C6A28">
        <w:rPr>
          <w:rFonts w:ascii="Times New Roman" w:eastAsia="Calibri" w:hAnsi="Times New Roman" w:cs="Times New Roman"/>
          <w:sz w:val="24"/>
          <w:szCs w:val="24"/>
        </w:rPr>
        <w:t>Azofert-F</w:t>
      </w:r>
      <w:r w:rsidR="005122B7" w:rsidRPr="006C6A28">
        <w:rPr>
          <w:rFonts w:ascii="Times New Roman" w:hAnsi="Times New Roman" w:cs="Times New Roman"/>
          <w:bCs/>
          <w:sz w:val="24"/>
          <w:szCs w:val="24"/>
        </w:rPr>
        <w:t>®</w:t>
      </w:r>
      <w:r w:rsidRPr="006C6A28">
        <w:rPr>
          <w:rFonts w:ascii="Times New Roman" w:eastAsia="Calibri" w:hAnsi="Times New Roman" w:cs="Times New Roman"/>
          <w:sz w:val="24"/>
          <w:szCs w:val="24"/>
        </w:rPr>
        <w:t xml:space="preserve">) es el que muestra la ganancia superior ($ 289490.00), este mismo tratamiento, es el superior en el efecto económico calculado, </w:t>
      </w:r>
      <w:r w:rsidR="00843C5C">
        <w:rPr>
          <w:rFonts w:ascii="Times New Roman" w:eastAsia="Calibri" w:hAnsi="Times New Roman" w:cs="Times New Roman"/>
          <w:sz w:val="24"/>
          <w:szCs w:val="24"/>
        </w:rPr>
        <w:t>debe entonces</w:t>
      </w:r>
      <w:r w:rsidRPr="006C6A28">
        <w:rPr>
          <w:rFonts w:ascii="Times New Roman" w:eastAsia="Calibri" w:hAnsi="Times New Roman" w:cs="Times New Roman"/>
          <w:sz w:val="24"/>
          <w:szCs w:val="24"/>
        </w:rPr>
        <w:t xml:space="preserve"> destacar</w:t>
      </w:r>
      <w:r w:rsidR="00843C5C">
        <w:rPr>
          <w:rFonts w:ascii="Times New Roman" w:eastAsia="Calibri" w:hAnsi="Times New Roman" w:cs="Times New Roman"/>
          <w:sz w:val="24"/>
          <w:szCs w:val="24"/>
        </w:rPr>
        <w:t>se</w:t>
      </w:r>
      <w:r w:rsidRPr="006C6A28">
        <w:rPr>
          <w:rFonts w:ascii="Times New Roman" w:eastAsia="Calibri" w:hAnsi="Times New Roman" w:cs="Times New Roman"/>
          <w:sz w:val="24"/>
          <w:szCs w:val="24"/>
        </w:rPr>
        <w:t xml:space="preserve"> que los otros tratamientos donde </w:t>
      </w:r>
      <w:r w:rsidR="00843C5C">
        <w:rPr>
          <w:rFonts w:ascii="Times New Roman" w:eastAsia="Calibri" w:hAnsi="Times New Roman" w:cs="Times New Roman"/>
          <w:sz w:val="24"/>
          <w:szCs w:val="24"/>
        </w:rPr>
        <w:t xml:space="preserve">se </w:t>
      </w:r>
      <w:r w:rsidRPr="006C6A28">
        <w:rPr>
          <w:rFonts w:ascii="Times New Roman" w:eastAsia="Calibri" w:hAnsi="Times New Roman" w:cs="Times New Roman"/>
          <w:sz w:val="24"/>
          <w:szCs w:val="24"/>
        </w:rPr>
        <w:t>aplica</w:t>
      </w:r>
      <w:r w:rsidR="00843C5C">
        <w:rPr>
          <w:rFonts w:ascii="Times New Roman" w:eastAsia="Calibri" w:hAnsi="Times New Roman" w:cs="Times New Roman"/>
          <w:sz w:val="24"/>
          <w:szCs w:val="24"/>
        </w:rPr>
        <w:t>ron</w:t>
      </w:r>
      <w:r w:rsidRPr="006C6A28">
        <w:rPr>
          <w:rFonts w:ascii="Times New Roman" w:eastAsia="Calibri" w:hAnsi="Times New Roman" w:cs="Times New Roman"/>
          <w:sz w:val="24"/>
          <w:szCs w:val="24"/>
        </w:rPr>
        <w:t xml:space="preserve"> bioinsumos también poseen un efecto económico positivo.</w:t>
      </w:r>
    </w:p>
    <w:p w14:paraId="15A4D29C" w14:textId="77777777" w:rsidR="00623D78" w:rsidRPr="006C6A28" w:rsidRDefault="006F3EF3" w:rsidP="0040344E">
      <w:pPr>
        <w:spacing w:after="120" w:line="360" w:lineRule="auto"/>
        <w:jc w:val="both"/>
        <w:rPr>
          <w:rFonts w:ascii="Times New Roman" w:hAnsi="Times New Roman" w:cs="Times New Roman"/>
          <w:b/>
          <w:sz w:val="24"/>
          <w:szCs w:val="24"/>
        </w:rPr>
      </w:pPr>
      <w:r w:rsidRPr="006C6A28">
        <w:rPr>
          <w:rFonts w:ascii="Times New Roman" w:hAnsi="Times New Roman" w:cs="Times New Roman"/>
          <w:b/>
          <w:sz w:val="24"/>
          <w:szCs w:val="24"/>
        </w:rPr>
        <w:t>Conclusiones</w:t>
      </w:r>
    </w:p>
    <w:p w14:paraId="6F305B5F" w14:textId="5E5D32CD" w:rsidR="00623D78" w:rsidRPr="00843C5C" w:rsidRDefault="00623D78" w:rsidP="00843C5C">
      <w:pPr>
        <w:pStyle w:val="Prrafodelista"/>
        <w:numPr>
          <w:ilvl w:val="0"/>
          <w:numId w:val="13"/>
        </w:numPr>
        <w:spacing w:after="120" w:line="360" w:lineRule="auto"/>
        <w:ind w:left="426" w:hanging="426"/>
        <w:jc w:val="both"/>
        <w:rPr>
          <w:rFonts w:ascii="Times New Roman" w:hAnsi="Times New Roman" w:cs="Times New Roman"/>
          <w:sz w:val="24"/>
          <w:szCs w:val="24"/>
        </w:rPr>
      </w:pPr>
      <w:r w:rsidRPr="00843C5C">
        <w:rPr>
          <w:rFonts w:ascii="Times New Roman" w:hAnsi="Times New Roman" w:cs="Times New Roman"/>
          <w:sz w:val="24"/>
          <w:szCs w:val="24"/>
        </w:rPr>
        <w:t xml:space="preserve">La revisión bibliográfica demostró la importancia del empleo de QuitoMax® y </w:t>
      </w:r>
      <w:r w:rsidR="003B126C" w:rsidRPr="00843C5C">
        <w:rPr>
          <w:rFonts w:ascii="Times New Roman" w:hAnsi="Times New Roman" w:cs="Times New Roman"/>
          <w:sz w:val="24"/>
          <w:szCs w:val="24"/>
        </w:rPr>
        <w:t>Azofert-F</w:t>
      </w:r>
      <w:r w:rsidRPr="00843C5C">
        <w:rPr>
          <w:rFonts w:ascii="Times New Roman" w:hAnsi="Times New Roman" w:cs="Times New Roman"/>
          <w:sz w:val="24"/>
          <w:szCs w:val="24"/>
        </w:rPr>
        <w:t xml:space="preserve"> en</w:t>
      </w:r>
      <w:r w:rsidR="003B061E" w:rsidRPr="00843C5C">
        <w:rPr>
          <w:rFonts w:ascii="Times New Roman" w:hAnsi="Times New Roman" w:cs="Times New Roman"/>
          <w:sz w:val="24"/>
          <w:szCs w:val="24"/>
        </w:rPr>
        <w:t xml:space="preserve"> el desarrollo del frijol común, </w:t>
      </w:r>
      <w:r w:rsidRPr="00843C5C">
        <w:rPr>
          <w:rFonts w:ascii="Times New Roman" w:hAnsi="Times New Roman" w:cs="Times New Roman"/>
          <w:sz w:val="24"/>
          <w:szCs w:val="24"/>
        </w:rPr>
        <w:t>variedad “Velazco largo”, siendo su combinación la que logró incrementar el desarrollo y rendimiento productivo.</w:t>
      </w:r>
    </w:p>
    <w:p w14:paraId="2065909C" w14:textId="77777777" w:rsidR="00843C5C" w:rsidRDefault="00623D78" w:rsidP="0040344E">
      <w:pPr>
        <w:pStyle w:val="Prrafodelista"/>
        <w:numPr>
          <w:ilvl w:val="0"/>
          <w:numId w:val="13"/>
        </w:numPr>
        <w:spacing w:after="120" w:line="360" w:lineRule="auto"/>
        <w:ind w:left="426" w:hanging="426"/>
        <w:jc w:val="both"/>
        <w:rPr>
          <w:rFonts w:ascii="Times New Roman" w:hAnsi="Times New Roman" w:cs="Times New Roman"/>
          <w:sz w:val="24"/>
          <w:szCs w:val="24"/>
        </w:rPr>
      </w:pPr>
      <w:r w:rsidRPr="00843C5C">
        <w:rPr>
          <w:rFonts w:ascii="Times New Roman" w:hAnsi="Times New Roman" w:cs="Times New Roman"/>
          <w:sz w:val="24"/>
          <w:szCs w:val="24"/>
        </w:rPr>
        <w:t xml:space="preserve">La influencia del efecto de los bioinsumos, QuitoMax® y </w:t>
      </w:r>
      <w:r w:rsidR="003B126C" w:rsidRPr="00843C5C">
        <w:rPr>
          <w:rFonts w:ascii="Times New Roman" w:hAnsi="Times New Roman" w:cs="Times New Roman"/>
          <w:sz w:val="24"/>
          <w:szCs w:val="24"/>
        </w:rPr>
        <w:t>Azofert-F</w:t>
      </w:r>
      <w:r w:rsidR="00AD7449" w:rsidRPr="00843C5C">
        <w:rPr>
          <w:rFonts w:ascii="Times New Roman" w:hAnsi="Times New Roman" w:cs="Times New Roman"/>
          <w:sz w:val="24"/>
          <w:szCs w:val="24"/>
        </w:rPr>
        <w:t>®</w:t>
      </w:r>
      <w:r w:rsidRPr="00843C5C">
        <w:rPr>
          <w:rFonts w:ascii="Times New Roman" w:hAnsi="Times New Roman" w:cs="Times New Roman"/>
          <w:sz w:val="24"/>
          <w:szCs w:val="24"/>
        </w:rPr>
        <w:t xml:space="preserve"> combinados en el rendimie</w:t>
      </w:r>
      <w:r w:rsidR="003B061E" w:rsidRPr="00843C5C">
        <w:rPr>
          <w:rFonts w:ascii="Times New Roman" w:hAnsi="Times New Roman" w:cs="Times New Roman"/>
          <w:sz w:val="24"/>
          <w:szCs w:val="24"/>
        </w:rPr>
        <w:t xml:space="preserve">nto productivo del frijol común, </w:t>
      </w:r>
      <w:r w:rsidRPr="00843C5C">
        <w:rPr>
          <w:rFonts w:ascii="Times New Roman" w:hAnsi="Times New Roman" w:cs="Times New Roman"/>
          <w:sz w:val="24"/>
          <w:szCs w:val="24"/>
        </w:rPr>
        <w:t>variedad “Velazco largo, logró los mejores rendimientos productivos de 2,58 t//ha</w:t>
      </w:r>
      <w:r w:rsidR="00CD5836" w:rsidRPr="00843C5C">
        <w:rPr>
          <w:rFonts w:ascii="Times New Roman" w:hAnsi="Times New Roman" w:cs="Times New Roman"/>
          <w:sz w:val="24"/>
          <w:szCs w:val="24"/>
          <w:vertAlign w:val="superscript"/>
        </w:rPr>
        <w:t>-1</w:t>
      </w:r>
      <w:r w:rsidRPr="00843C5C">
        <w:rPr>
          <w:rFonts w:ascii="Times New Roman" w:hAnsi="Times New Roman" w:cs="Times New Roman"/>
          <w:sz w:val="24"/>
          <w:szCs w:val="24"/>
        </w:rPr>
        <w:t xml:space="preserve"> en el T4, con mayor número de vainas por plantas y pesos de los granos, seguido del T3, con 2,33 t/ha,  </w:t>
      </w:r>
      <w:r w:rsidR="008F7558" w:rsidRPr="00843C5C">
        <w:rPr>
          <w:rFonts w:ascii="Times New Roman" w:hAnsi="Times New Roman" w:cs="Times New Roman"/>
          <w:sz w:val="24"/>
          <w:szCs w:val="24"/>
        </w:rPr>
        <w:t>T</w:t>
      </w:r>
      <w:r w:rsidRPr="00843C5C">
        <w:rPr>
          <w:rFonts w:ascii="Times New Roman" w:hAnsi="Times New Roman" w:cs="Times New Roman"/>
          <w:sz w:val="24"/>
          <w:szCs w:val="24"/>
        </w:rPr>
        <w:t>2, 2,08 t</w:t>
      </w:r>
      <w:r w:rsidR="008F7558" w:rsidRPr="00843C5C">
        <w:rPr>
          <w:rFonts w:ascii="Times New Roman" w:hAnsi="Times New Roman" w:cs="Times New Roman"/>
          <w:sz w:val="24"/>
          <w:szCs w:val="24"/>
        </w:rPr>
        <w:t xml:space="preserve"> </w:t>
      </w:r>
      <w:r w:rsidRPr="00843C5C">
        <w:rPr>
          <w:rFonts w:ascii="Times New Roman" w:hAnsi="Times New Roman" w:cs="Times New Roman"/>
          <w:sz w:val="24"/>
          <w:szCs w:val="24"/>
        </w:rPr>
        <w:t>ha</w:t>
      </w:r>
      <w:r w:rsidR="008F7558" w:rsidRPr="00843C5C">
        <w:rPr>
          <w:rFonts w:ascii="Times New Roman" w:hAnsi="Times New Roman" w:cs="Times New Roman"/>
          <w:sz w:val="24"/>
          <w:szCs w:val="24"/>
          <w:vertAlign w:val="superscript"/>
        </w:rPr>
        <w:t>-1</w:t>
      </w:r>
      <w:r w:rsidRPr="00843C5C">
        <w:rPr>
          <w:rFonts w:ascii="Times New Roman" w:hAnsi="Times New Roman" w:cs="Times New Roman"/>
          <w:sz w:val="24"/>
          <w:szCs w:val="24"/>
        </w:rPr>
        <w:t>, siendo inferior el Testigo con1,68</w:t>
      </w:r>
      <w:r w:rsidR="008F7558" w:rsidRPr="00843C5C">
        <w:rPr>
          <w:rFonts w:ascii="Times New Roman" w:hAnsi="Times New Roman" w:cs="Times New Roman"/>
          <w:sz w:val="24"/>
          <w:szCs w:val="24"/>
        </w:rPr>
        <w:t xml:space="preserve"> </w:t>
      </w:r>
      <w:r w:rsidRPr="00843C5C">
        <w:rPr>
          <w:rFonts w:ascii="Times New Roman" w:hAnsi="Times New Roman" w:cs="Times New Roman"/>
          <w:sz w:val="24"/>
          <w:szCs w:val="24"/>
        </w:rPr>
        <w:t>t/ha</w:t>
      </w:r>
      <w:r w:rsidR="008F7558" w:rsidRPr="00843C5C">
        <w:rPr>
          <w:rFonts w:ascii="Times New Roman" w:hAnsi="Times New Roman" w:cs="Times New Roman"/>
          <w:sz w:val="24"/>
          <w:szCs w:val="24"/>
          <w:vertAlign w:val="superscript"/>
        </w:rPr>
        <w:t>-1</w:t>
      </w:r>
      <w:r w:rsidRPr="00843C5C">
        <w:rPr>
          <w:rFonts w:ascii="Times New Roman" w:hAnsi="Times New Roman" w:cs="Times New Roman"/>
          <w:sz w:val="24"/>
          <w:szCs w:val="24"/>
        </w:rPr>
        <w:t>.</w:t>
      </w:r>
    </w:p>
    <w:p w14:paraId="647D38D4" w14:textId="50DBEED0" w:rsidR="001828CB" w:rsidRPr="00CD4C2D" w:rsidRDefault="00FD3D59" w:rsidP="00843C5C">
      <w:pPr>
        <w:spacing w:after="120" w:line="360" w:lineRule="auto"/>
        <w:jc w:val="both"/>
        <w:rPr>
          <w:rFonts w:ascii="Times New Roman" w:hAnsi="Times New Roman" w:cs="Times New Roman"/>
          <w:sz w:val="24"/>
          <w:szCs w:val="24"/>
          <w:lang w:val="en-US"/>
        </w:rPr>
      </w:pPr>
      <w:r w:rsidRPr="00843C5C">
        <w:rPr>
          <w:rFonts w:ascii="Times New Roman" w:hAnsi="Times New Roman" w:cs="Times New Roman"/>
          <w:b/>
          <w:sz w:val="24"/>
          <w:szCs w:val="24"/>
          <w:lang w:val="en-US"/>
        </w:rPr>
        <w:t>Bibliografía</w:t>
      </w:r>
    </w:p>
    <w:p w14:paraId="0FEDB870" w14:textId="366138B7" w:rsidR="0040344E" w:rsidRDefault="00AD03FF" w:rsidP="0040344E">
      <w:pPr>
        <w:spacing w:after="120" w:line="360" w:lineRule="auto"/>
        <w:ind w:left="426" w:hanging="426"/>
        <w:contextualSpacing/>
        <w:jc w:val="both"/>
        <w:rPr>
          <w:rFonts w:ascii="Times New Roman" w:hAnsi="Times New Roman" w:cs="Times New Roman"/>
          <w:sz w:val="24"/>
          <w:szCs w:val="24"/>
          <w:lang w:val="en-US"/>
        </w:rPr>
      </w:pPr>
      <w:r w:rsidRPr="006C6A28">
        <w:rPr>
          <w:rFonts w:ascii="Times New Roman" w:hAnsi="Times New Roman" w:cs="Times New Roman"/>
          <w:sz w:val="24"/>
          <w:szCs w:val="24"/>
          <w:lang w:val="en-US"/>
        </w:rPr>
        <w:t xml:space="preserve">Bittelli, M., Flury, M.; Campbell, G. S. y Nichols, E. J.(2017). “Reduction of transpiration through foliar application of chitosan”. Agricultural and Forest Meteorology, vol. 107, no. 3, 2017, pp. 167-175, ISSN 0168-1923, DOI 10.1016/ S0168-1923(00)00242-2: </w:t>
      </w:r>
      <w:hyperlink r:id="rId19" w:history="1">
        <w:r w:rsidR="0040344E" w:rsidRPr="004828A2">
          <w:rPr>
            <w:rStyle w:val="Hipervnculo"/>
            <w:rFonts w:ascii="Times New Roman" w:hAnsi="Times New Roman" w:cs="Times New Roman"/>
            <w:sz w:val="24"/>
            <w:szCs w:val="24"/>
            <w:lang w:val="en-US"/>
          </w:rPr>
          <w:t>http://www.sciencedirect.com/science/article/pii/S0168192300002422</w:t>
        </w:r>
      </w:hyperlink>
    </w:p>
    <w:p w14:paraId="3D79BEF6" w14:textId="4EA5C518"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 xml:space="preserve">Boudet, A. A., Boicet, F. T. y Oduardo, C. R. (2015). “Rendimiento y sus componentes en variedades de frijol común bajo condiciones de sequía en Rio Cauto, Granma”. Centro Agrícola, vol. 42, no. 3, 2015, pp. 61–68, ISSN 0253-5785, 2072-2001, [Consultado: 16 de febrero de 2017], Disponible en: </w:t>
      </w:r>
      <w:hyperlink r:id="rId20" w:history="1">
        <w:r w:rsidR="0040344E" w:rsidRPr="004828A2">
          <w:rPr>
            <w:rStyle w:val="Hipervnculo"/>
            <w:rFonts w:ascii="Times New Roman" w:hAnsi="Times New Roman" w:cs="Times New Roman"/>
            <w:sz w:val="24"/>
            <w:szCs w:val="24"/>
          </w:rPr>
          <w:t>http://oaji.net/articles/2016/2674-1453142631.pdf</w:t>
        </w:r>
      </w:hyperlink>
      <w:r w:rsidRPr="006C6A28">
        <w:rPr>
          <w:rFonts w:ascii="Times New Roman" w:hAnsi="Times New Roman" w:cs="Times New Roman"/>
          <w:sz w:val="24"/>
          <w:szCs w:val="24"/>
        </w:rPr>
        <w:t>.</w:t>
      </w:r>
    </w:p>
    <w:p w14:paraId="029FAADA" w14:textId="52FD2E43"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Cardona-Ayala C., Jarma-Orozco A., Áramendiz-Tatis H., Peña-Agresott M,, Vergara-Córdoba C. (2014). Respuestas fisiológicas y bioquímicas del fríjol caupí (</w:t>
      </w:r>
      <w:r w:rsidRPr="006C6A28">
        <w:rPr>
          <w:rFonts w:ascii="Times New Roman" w:hAnsi="Times New Roman" w:cs="Times New Roman"/>
          <w:i/>
          <w:sz w:val="24"/>
          <w:szCs w:val="24"/>
        </w:rPr>
        <w:t>Vigna</w:t>
      </w:r>
      <w:r w:rsidR="008A51C8" w:rsidRPr="006C6A28">
        <w:rPr>
          <w:rFonts w:ascii="Times New Roman" w:hAnsi="Times New Roman" w:cs="Times New Roman"/>
          <w:sz w:val="24"/>
          <w:szCs w:val="24"/>
        </w:rPr>
        <w:t xml:space="preserve"> </w:t>
      </w:r>
      <w:r w:rsidRPr="006C6A28">
        <w:rPr>
          <w:rFonts w:ascii="Times New Roman" w:hAnsi="Times New Roman" w:cs="Times New Roman"/>
          <w:i/>
          <w:sz w:val="24"/>
          <w:szCs w:val="24"/>
        </w:rPr>
        <w:t>unguiculata</w:t>
      </w:r>
      <w:r w:rsidRPr="006C6A28">
        <w:rPr>
          <w:rFonts w:ascii="Times New Roman" w:hAnsi="Times New Roman" w:cs="Times New Roman"/>
          <w:sz w:val="24"/>
          <w:szCs w:val="24"/>
        </w:rPr>
        <w:t xml:space="preserve"> L. Walp.) bajo déficit hídrico. Revista Colombiana de Ciencias Hortícolas. 2014;8(2):250–61.</w:t>
      </w:r>
    </w:p>
    <w:p w14:paraId="2ACDD0A7" w14:textId="47C1F67C" w:rsidR="0040344E" w:rsidRDefault="00AD03FF" w:rsidP="0040344E">
      <w:pPr>
        <w:spacing w:after="120" w:line="360" w:lineRule="auto"/>
        <w:ind w:left="426" w:hanging="426"/>
        <w:contextualSpacing/>
        <w:jc w:val="both"/>
        <w:rPr>
          <w:rFonts w:ascii="Times New Roman" w:hAnsi="Times New Roman" w:cs="Times New Roman"/>
          <w:sz w:val="24"/>
          <w:szCs w:val="24"/>
          <w:lang w:val="en-US"/>
        </w:rPr>
      </w:pPr>
      <w:r w:rsidRPr="006C6A28">
        <w:rPr>
          <w:rFonts w:ascii="Times New Roman" w:hAnsi="Times New Roman" w:cs="Times New Roman"/>
          <w:sz w:val="24"/>
          <w:szCs w:val="24"/>
        </w:rPr>
        <w:t xml:space="preserve">Dorcinvil, R., Sotomayor-Ramírez, D. y Beaver, J. (2010). </w:t>
      </w:r>
      <w:r w:rsidRPr="006C6A28">
        <w:rPr>
          <w:rFonts w:ascii="Times New Roman" w:hAnsi="Times New Roman" w:cs="Times New Roman"/>
          <w:sz w:val="24"/>
          <w:szCs w:val="24"/>
          <w:lang w:val="en-US"/>
        </w:rPr>
        <w:t>“Agronomic performance of common bean (</w:t>
      </w:r>
      <w:r w:rsidRPr="006C6A28">
        <w:rPr>
          <w:rFonts w:ascii="Times New Roman" w:hAnsi="Times New Roman" w:cs="Times New Roman"/>
          <w:i/>
          <w:sz w:val="24"/>
          <w:szCs w:val="24"/>
          <w:lang w:val="en-US"/>
        </w:rPr>
        <w:t>Phaseolus vulgaris</w:t>
      </w:r>
      <w:r w:rsidRPr="006C6A28">
        <w:rPr>
          <w:rFonts w:ascii="Times New Roman" w:hAnsi="Times New Roman" w:cs="Times New Roman"/>
          <w:sz w:val="24"/>
          <w:szCs w:val="24"/>
          <w:lang w:val="en-US"/>
        </w:rPr>
        <w:t xml:space="preserve"> L.) lines in an Oxisol”. Field CropsResearch, vol. 118, no. 3, 2010, pp. 264-272, ISSN 0378-4290, DOI </w:t>
      </w:r>
      <w:hyperlink r:id="rId21" w:history="1">
        <w:r w:rsidR="0040344E" w:rsidRPr="004828A2">
          <w:rPr>
            <w:rStyle w:val="Hipervnculo"/>
            <w:rFonts w:ascii="Times New Roman" w:hAnsi="Times New Roman" w:cs="Times New Roman"/>
            <w:sz w:val="24"/>
            <w:szCs w:val="24"/>
            <w:lang w:val="en-US"/>
          </w:rPr>
          <w:t>https://10.1016/j.fcr.2010.06.003</w:t>
        </w:r>
      </w:hyperlink>
    </w:p>
    <w:p w14:paraId="7E17E546" w14:textId="15579858" w:rsidR="00AD03FF" w:rsidRPr="006C6A28" w:rsidRDefault="00AD03FF" w:rsidP="0040344E">
      <w:pPr>
        <w:spacing w:after="120" w:line="360" w:lineRule="auto"/>
        <w:ind w:left="426" w:hanging="426"/>
        <w:contextualSpacing/>
        <w:jc w:val="both"/>
        <w:rPr>
          <w:rFonts w:ascii="Times New Roman" w:hAnsi="Times New Roman" w:cs="Times New Roman"/>
          <w:sz w:val="24"/>
          <w:szCs w:val="24"/>
          <w:lang w:val="en-US"/>
        </w:rPr>
      </w:pPr>
      <w:r w:rsidRPr="006C6A28">
        <w:rPr>
          <w:rFonts w:ascii="Times New Roman" w:hAnsi="Times New Roman" w:cs="Times New Roman"/>
          <w:sz w:val="24"/>
          <w:szCs w:val="24"/>
          <w:lang w:val="en-US"/>
        </w:rPr>
        <w:lastRenderedPageBreak/>
        <w:t>FAO. (2018). Manejo del cultivo. Obtenido de http://www.fao.org/3/a a1374s/a1374s03.pdf. (23 de  Junio de 2016).</w:t>
      </w:r>
    </w:p>
    <w:p w14:paraId="75C3AAF5" w14:textId="45585FE8" w:rsidR="00AD03FF" w:rsidRPr="0040344E" w:rsidRDefault="00AD03FF" w:rsidP="0040344E">
      <w:pPr>
        <w:spacing w:after="120" w:line="360" w:lineRule="auto"/>
        <w:ind w:left="426" w:hanging="426"/>
        <w:contextualSpacing/>
        <w:jc w:val="both"/>
        <w:rPr>
          <w:rFonts w:ascii="Times New Roman" w:hAnsi="Times New Roman" w:cs="Times New Roman"/>
          <w:sz w:val="24"/>
          <w:szCs w:val="24"/>
          <w:lang w:val="es-CU"/>
        </w:rPr>
      </w:pPr>
      <w:r w:rsidRPr="006C6A28">
        <w:rPr>
          <w:rFonts w:ascii="Times New Roman" w:hAnsi="Times New Roman" w:cs="Times New Roman"/>
          <w:sz w:val="24"/>
          <w:szCs w:val="24"/>
          <w:lang w:val="en-US"/>
        </w:rPr>
        <w:t xml:space="preserve">FAO. (2020). Manejo de  cultivos, de granos. </w:t>
      </w:r>
      <w:r w:rsidRPr="0040344E">
        <w:rPr>
          <w:rFonts w:ascii="Times New Roman" w:hAnsi="Times New Roman" w:cs="Times New Roman"/>
          <w:sz w:val="24"/>
          <w:szCs w:val="24"/>
          <w:lang w:val="es-CU"/>
        </w:rPr>
        <w:t>Obtenido de</w:t>
      </w:r>
      <w:r w:rsidR="0040344E">
        <w:rPr>
          <w:rFonts w:ascii="Times New Roman" w:hAnsi="Times New Roman" w:cs="Times New Roman"/>
          <w:sz w:val="24"/>
          <w:szCs w:val="24"/>
          <w:lang w:val="es-CU"/>
        </w:rPr>
        <w:t>:</w:t>
      </w:r>
      <w:r w:rsidRPr="0040344E">
        <w:rPr>
          <w:rFonts w:ascii="Times New Roman" w:hAnsi="Times New Roman" w:cs="Times New Roman"/>
          <w:sz w:val="24"/>
          <w:szCs w:val="24"/>
          <w:lang w:val="es-CU"/>
        </w:rPr>
        <w:t xml:space="preserve"> </w:t>
      </w:r>
      <w:hyperlink r:id="rId22" w:history="1">
        <w:r w:rsidR="0040344E" w:rsidRPr="0040344E">
          <w:rPr>
            <w:rStyle w:val="Hipervnculo"/>
            <w:rFonts w:ascii="Times New Roman" w:hAnsi="Times New Roman" w:cs="Times New Roman"/>
            <w:sz w:val="24"/>
            <w:szCs w:val="24"/>
            <w:lang w:val="es-CU"/>
          </w:rPr>
          <w:t>http://www.fao.org/3/aa1374s/a1374s03.pdf</w:t>
        </w:r>
      </w:hyperlink>
      <w:r w:rsidRPr="0040344E">
        <w:rPr>
          <w:rFonts w:ascii="Times New Roman" w:hAnsi="Times New Roman" w:cs="Times New Roman"/>
          <w:sz w:val="24"/>
          <w:szCs w:val="24"/>
          <w:lang w:val="es-CU"/>
        </w:rPr>
        <w:t>.</w:t>
      </w:r>
    </w:p>
    <w:p w14:paraId="6E827502" w14:textId="4BF711AB"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 xml:space="preserve">Falcón, A.B., Costales, D., González, D., Morales, D., Mederos, Y., Jerez, E., Cabrera, J.C., (2017). </w:t>
      </w:r>
      <w:r w:rsidRPr="006C6A28">
        <w:rPr>
          <w:rFonts w:ascii="Times New Roman" w:hAnsi="Times New Roman" w:cs="Times New Roman"/>
          <w:sz w:val="24"/>
          <w:szCs w:val="24"/>
          <w:lang w:val="en-US"/>
        </w:rPr>
        <w:t>Chitosans of different molecular weight enhance potato (</w:t>
      </w:r>
      <w:r w:rsidRPr="006C6A28">
        <w:rPr>
          <w:rFonts w:ascii="Times New Roman" w:hAnsi="Times New Roman" w:cs="Times New Roman"/>
          <w:i/>
          <w:sz w:val="24"/>
          <w:szCs w:val="24"/>
          <w:lang w:val="en-US"/>
        </w:rPr>
        <w:t>Solanum</w:t>
      </w:r>
      <w:r w:rsidR="00B74495" w:rsidRPr="006C6A28">
        <w:rPr>
          <w:rFonts w:ascii="Times New Roman" w:hAnsi="Times New Roman" w:cs="Times New Roman"/>
          <w:i/>
          <w:sz w:val="24"/>
          <w:szCs w:val="24"/>
          <w:lang w:val="en-US"/>
        </w:rPr>
        <w:t xml:space="preserve"> </w:t>
      </w:r>
      <w:r w:rsidRPr="006C6A28">
        <w:rPr>
          <w:rFonts w:ascii="Times New Roman" w:hAnsi="Times New Roman" w:cs="Times New Roman"/>
          <w:i/>
          <w:sz w:val="24"/>
          <w:szCs w:val="24"/>
          <w:lang w:val="en-US"/>
        </w:rPr>
        <w:t>tuberosum</w:t>
      </w:r>
      <w:r w:rsidRPr="006C6A28">
        <w:rPr>
          <w:rFonts w:ascii="Times New Roman" w:hAnsi="Times New Roman" w:cs="Times New Roman"/>
          <w:sz w:val="24"/>
          <w:szCs w:val="24"/>
          <w:lang w:val="en-US"/>
        </w:rPr>
        <w:t xml:space="preserve"> L.) yield at field trial, Vol. 15</w:t>
      </w:r>
      <w:r w:rsidR="0040344E">
        <w:rPr>
          <w:rFonts w:ascii="Times New Roman" w:hAnsi="Times New Roman" w:cs="Times New Roman"/>
          <w:sz w:val="24"/>
          <w:szCs w:val="24"/>
          <w:lang w:val="en-US"/>
        </w:rPr>
        <w:t>.</w:t>
      </w:r>
      <w:r w:rsidRPr="006C6A28">
        <w:rPr>
          <w:rFonts w:ascii="Times New Roman" w:hAnsi="Times New Roman" w:cs="Times New Roman"/>
          <w:sz w:val="24"/>
          <w:szCs w:val="24"/>
          <w:lang w:val="en-US"/>
        </w:rPr>
        <w:t xml:space="preserve"> </w:t>
      </w:r>
      <w:hyperlink r:id="rId23" w:history="1">
        <w:r w:rsidR="0040344E" w:rsidRPr="00CD4C2D">
          <w:rPr>
            <w:rStyle w:val="Hipervnculo"/>
            <w:rFonts w:ascii="Times New Roman" w:hAnsi="Times New Roman" w:cs="Times New Roman"/>
            <w:sz w:val="24"/>
            <w:szCs w:val="24"/>
            <w:lang w:val="es-CU"/>
          </w:rPr>
          <w:t>https://doi.org/10.5424/sjar/2017151-9288</w:t>
        </w:r>
      </w:hyperlink>
      <w:r w:rsidRPr="00CD4C2D">
        <w:rPr>
          <w:rFonts w:ascii="Times New Roman" w:hAnsi="Times New Roman" w:cs="Times New Roman"/>
          <w:sz w:val="24"/>
          <w:szCs w:val="24"/>
          <w:lang w:val="es-CU"/>
        </w:rPr>
        <w:t xml:space="preserve">. </w:t>
      </w:r>
      <w:r w:rsidRPr="006C6A28">
        <w:rPr>
          <w:rFonts w:ascii="Times New Roman" w:hAnsi="Times New Roman" w:cs="Times New Roman"/>
          <w:sz w:val="24"/>
          <w:szCs w:val="24"/>
        </w:rPr>
        <w:t>Consultado 10 de junio de 2019.</w:t>
      </w:r>
    </w:p>
    <w:p w14:paraId="1DCFBF3F" w14:textId="3CA903A4"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 xml:space="preserve">Faure, A.B., Benítez, G.R. y Rodríguez, A.E. (2014). Guía técnica para la producción de frijol común y maíz. 1st. Ed., La Habana, Cuba, Instituto de Investigaciones de Fruticultura Tropical, 22 p. </w:t>
      </w:r>
    </w:p>
    <w:p w14:paraId="45E88E8E" w14:textId="3AFD9115"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lang w:val="pt-PT"/>
        </w:rPr>
        <w:t xml:space="preserve">Fioreze, SL, Tochetto, C., Coelho, AE., Melo, HF. </w:t>
      </w:r>
      <w:r w:rsidRPr="006C6A28">
        <w:rPr>
          <w:rFonts w:ascii="Times New Roman" w:hAnsi="Times New Roman" w:cs="Times New Roman"/>
          <w:sz w:val="24"/>
          <w:szCs w:val="24"/>
          <w:lang w:val="en-US"/>
        </w:rPr>
        <w:t xml:space="preserve">(2018). Effects of calcium supply on soybean plants. </w:t>
      </w:r>
      <w:r w:rsidRPr="006C6A28">
        <w:rPr>
          <w:rFonts w:ascii="Times New Roman" w:hAnsi="Times New Roman" w:cs="Times New Roman"/>
          <w:sz w:val="24"/>
          <w:szCs w:val="24"/>
        </w:rPr>
        <w:t>Comunicata Scientiae. 2018;9(2):219-25.</w:t>
      </w:r>
    </w:p>
    <w:p w14:paraId="05B1C00C" w14:textId="2CB398B0"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Hernández, J. A., Pérez, J. J. M., Bosch, I. D. y Castro, S. N. (2015). Clasificación de los suelos de Cuba. La Habana: INCA.</w:t>
      </w:r>
    </w:p>
    <w:p w14:paraId="0F213366" w14:textId="7D545B40" w:rsidR="00AD03FF"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Meriño, Y., Boudet, A.; Boicet, T., Ladrón de Guevara, E. A. y Palacio, A. J. (2015). “Rendimiento y tolerancia a la sequía de seis variedades de frijol común (</w:t>
      </w:r>
      <w:r w:rsidRPr="006C6A28">
        <w:rPr>
          <w:rFonts w:ascii="Times New Roman" w:hAnsi="Times New Roman" w:cs="Times New Roman"/>
          <w:i/>
          <w:sz w:val="24"/>
          <w:szCs w:val="24"/>
        </w:rPr>
        <w:t>Phaseolus vulgaris</w:t>
      </w:r>
      <w:r w:rsidRPr="006C6A28">
        <w:rPr>
          <w:rFonts w:ascii="Times New Roman" w:hAnsi="Times New Roman" w:cs="Times New Roman"/>
          <w:sz w:val="24"/>
          <w:szCs w:val="24"/>
        </w:rPr>
        <w:t xml:space="preserve"> L.) en condiciones de campo”. Centro Agrícola, vol. 42, no. 1, 2015, pp. 69–74, ISSN 0253-5785, 2072-2001, </w:t>
      </w:r>
      <w:hyperlink r:id="rId24" w:history="1">
        <w:r w:rsidR="0040344E" w:rsidRPr="004828A2">
          <w:rPr>
            <w:rStyle w:val="Hipervnculo"/>
            <w:rFonts w:ascii="Times New Roman" w:hAnsi="Times New Roman" w:cs="Times New Roman"/>
            <w:sz w:val="24"/>
            <w:szCs w:val="24"/>
          </w:rPr>
          <w:t>http://cagricola.uclv.edu.cu/descargas/pdf/V42Numero_1/cag10115.pdf</w:t>
        </w:r>
      </w:hyperlink>
    </w:p>
    <w:p w14:paraId="07BD9BE3" w14:textId="62265BF5"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MINAG. (2018). Lista oficial de cultivares comerciales. Registro de variedades comerciales, subdirección de Certificación de Semillas. Centro Nacional de Sanidad Vegetal. La Habana. Cuba.</w:t>
      </w:r>
    </w:p>
    <w:p w14:paraId="1012000D" w14:textId="74A2A469"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Morales, G.D., Dell´Amico, R.J., Jerez, M.E., Díaz, H.Y y Martín, M.R., (2016). Efecto del QuitoMax® en el crecimiento y rendimiento del frijol (</w:t>
      </w:r>
      <w:r w:rsidRPr="006C6A28">
        <w:rPr>
          <w:rFonts w:ascii="Times New Roman" w:hAnsi="Times New Roman" w:cs="Times New Roman"/>
          <w:i/>
          <w:sz w:val="24"/>
          <w:szCs w:val="24"/>
        </w:rPr>
        <w:t>Phaseolus</w:t>
      </w:r>
      <w:r w:rsidR="00914CF7" w:rsidRPr="006C6A28">
        <w:rPr>
          <w:rFonts w:ascii="Times New Roman" w:hAnsi="Times New Roman" w:cs="Times New Roman"/>
          <w:i/>
          <w:sz w:val="24"/>
          <w:szCs w:val="24"/>
        </w:rPr>
        <w:t xml:space="preserve"> </w:t>
      </w:r>
      <w:r w:rsidRPr="006C6A28">
        <w:rPr>
          <w:rFonts w:ascii="Times New Roman" w:hAnsi="Times New Roman" w:cs="Times New Roman"/>
          <w:i/>
          <w:sz w:val="24"/>
          <w:szCs w:val="24"/>
        </w:rPr>
        <w:t>vulgaris</w:t>
      </w:r>
      <w:r w:rsidRPr="006C6A28">
        <w:rPr>
          <w:rFonts w:ascii="Times New Roman" w:hAnsi="Times New Roman" w:cs="Times New Roman"/>
          <w:sz w:val="24"/>
          <w:szCs w:val="24"/>
        </w:rPr>
        <w:t xml:space="preserve"> L.) Cultivos. Tropicales, Vol. 37, nº 1, p. 142 – 147. ISSN impreso: 0258-5936, ISSN digital: 1819 – 4087.</w:t>
      </w:r>
    </w:p>
    <w:p w14:paraId="1D98A91F" w14:textId="64C65840" w:rsidR="00AD03FF"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Mozqueda-Barrientos, JR., Juárez-Maldonado, AA., González-Morales, SCA. Benavides- Mendoza, ACA. (2018). Aplicación de bioestimulantes innovadores y su impacto en el vigor  y rendimiento del cultivo del tomate (</w:t>
      </w:r>
      <w:r w:rsidRPr="006C6A28">
        <w:rPr>
          <w:rFonts w:ascii="Times New Roman" w:hAnsi="Times New Roman" w:cs="Times New Roman"/>
          <w:i/>
          <w:sz w:val="24"/>
          <w:szCs w:val="24"/>
        </w:rPr>
        <w:t>Solanum lycopersicum</w:t>
      </w:r>
      <w:r w:rsidRPr="006C6A28">
        <w:rPr>
          <w:rFonts w:ascii="Times New Roman" w:hAnsi="Times New Roman" w:cs="Times New Roman"/>
          <w:sz w:val="24"/>
          <w:szCs w:val="24"/>
        </w:rPr>
        <w:t xml:space="preserve"> L). </w:t>
      </w:r>
      <w:hyperlink r:id="rId25" w:history="1">
        <w:r w:rsidR="006C6A28" w:rsidRPr="004828A2">
          <w:rPr>
            <w:rStyle w:val="Hipervnculo"/>
            <w:rFonts w:ascii="Times New Roman" w:hAnsi="Times New Roman" w:cs="Times New Roman"/>
            <w:sz w:val="24"/>
            <w:szCs w:val="24"/>
          </w:rPr>
          <w:t>http://repositorio.uaaan.mx:8080/xmlui/handle/123456789/43061</w:t>
        </w:r>
      </w:hyperlink>
      <w:r w:rsidR="006C6A28">
        <w:rPr>
          <w:rFonts w:ascii="Times New Roman" w:hAnsi="Times New Roman" w:cs="Times New Roman"/>
          <w:sz w:val="24"/>
          <w:szCs w:val="24"/>
        </w:rPr>
        <w:t>.</w:t>
      </w:r>
    </w:p>
    <w:p w14:paraId="049CDF29" w14:textId="3C2D8D03"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CD4C2D">
        <w:rPr>
          <w:rFonts w:ascii="Times New Roman" w:hAnsi="Times New Roman" w:cs="Times New Roman"/>
          <w:sz w:val="24"/>
          <w:szCs w:val="24"/>
          <w:lang w:val="es-CU"/>
        </w:rPr>
        <w:lastRenderedPageBreak/>
        <w:t xml:space="preserve">Nápoles, M., Cabrera, J., Onderwater, R., (2016). </w:t>
      </w:r>
      <w:r w:rsidRPr="006C6A28">
        <w:rPr>
          <w:rFonts w:ascii="Times New Roman" w:hAnsi="Times New Roman" w:cs="Times New Roman"/>
          <w:sz w:val="24"/>
          <w:szCs w:val="24"/>
        </w:rPr>
        <w:t>Señales en la interacción Rhizobium leguminosarum-frijol común (</w:t>
      </w:r>
      <w:r w:rsidRPr="006C6A28">
        <w:rPr>
          <w:rFonts w:ascii="Times New Roman" w:hAnsi="Times New Roman" w:cs="Times New Roman"/>
          <w:i/>
          <w:sz w:val="24"/>
          <w:szCs w:val="24"/>
        </w:rPr>
        <w:t>Phaseolus vulgaris</w:t>
      </w:r>
      <w:r w:rsidRPr="006C6A28">
        <w:rPr>
          <w:rFonts w:ascii="Times New Roman" w:hAnsi="Times New Roman" w:cs="Times New Roman"/>
          <w:sz w:val="24"/>
          <w:szCs w:val="24"/>
        </w:rPr>
        <w:t xml:space="preserve"> L.). Cultivos Tropicales, 37 (2): 37- 44.</w:t>
      </w:r>
    </w:p>
    <w:p w14:paraId="1129D3A8" w14:textId="27BFD123"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 xml:space="preserve">ONEI (2016). Sector Agropecuario. Indicadores seleccionados. Enero-Diciembre de 2015. Centro de Gestión de la Información Económica, Medioambiental y Social. República de Cuba, p. 14. </w:t>
      </w:r>
    </w:p>
    <w:p w14:paraId="0CA98A82" w14:textId="3A878076"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Peña, K., Rodríguez, J., Olivera, D. (2017). Efecto de un promotor del crecimiento  en  el  comportamiento productivo del frijol (</w:t>
      </w:r>
      <w:r w:rsidRPr="006C6A28">
        <w:rPr>
          <w:rFonts w:ascii="Times New Roman" w:hAnsi="Times New Roman" w:cs="Times New Roman"/>
          <w:i/>
          <w:sz w:val="24"/>
          <w:szCs w:val="24"/>
        </w:rPr>
        <w:t>Phaseolus vulgaris</w:t>
      </w:r>
      <w:r w:rsidRPr="006C6A28">
        <w:rPr>
          <w:rFonts w:ascii="Times New Roman" w:hAnsi="Times New Roman" w:cs="Times New Roman"/>
          <w:sz w:val="24"/>
          <w:szCs w:val="24"/>
        </w:rPr>
        <w:t xml:space="preserve"> L.). Avances en Investigación Agropecuaria. Revista de investigación y difusión científica agropecuaria. 21 (1): 35-45.</w:t>
      </w:r>
    </w:p>
    <w:p w14:paraId="5F3352B9" w14:textId="30FA0885"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Pérez,  A.  (2017).  Caracterización morfoagronómica de cinco cultivares de frijol común (</w:t>
      </w:r>
      <w:r w:rsidRPr="006C6A28">
        <w:rPr>
          <w:rFonts w:ascii="Times New Roman" w:hAnsi="Times New Roman" w:cs="Times New Roman"/>
          <w:i/>
          <w:sz w:val="24"/>
          <w:szCs w:val="24"/>
        </w:rPr>
        <w:t>Phaseolus vulgaris</w:t>
      </w:r>
      <w:r w:rsidRPr="006C6A28">
        <w:rPr>
          <w:rFonts w:ascii="Times New Roman" w:hAnsi="Times New Roman" w:cs="Times New Roman"/>
          <w:sz w:val="24"/>
          <w:szCs w:val="24"/>
        </w:rPr>
        <w:t xml:space="preserve"> L) en el municipio de Jobabo”. Revista Caribeña de Ciencias Sociales, octubre, En línea: </w:t>
      </w:r>
      <w:hyperlink r:id="rId26" w:history="1">
        <w:r w:rsidR="006C6A28" w:rsidRPr="004828A2">
          <w:rPr>
            <w:rStyle w:val="Hipervnculo"/>
            <w:rFonts w:ascii="Times New Roman" w:hAnsi="Times New Roman" w:cs="Times New Roman"/>
            <w:sz w:val="24"/>
            <w:szCs w:val="24"/>
          </w:rPr>
          <w:t>http://www.eumed.net/rev/caribe/2017/10/cultivares-frijol-comun.html</w:t>
        </w:r>
      </w:hyperlink>
      <w:r w:rsidR="006C6A28">
        <w:rPr>
          <w:rFonts w:ascii="Times New Roman" w:hAnsi="Times New Roman" w:cs="Times New Roman"/>
          <w:sz w:val="24"/>
          <w:szCs w:val="24"/>
        </w:rPr>
        <w:t>.</w:t>
      </w:r>
    </w:p>
    <w:p w14:paraId="4EF97792" w14:textId="032596E9"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Quintana, O. (2007). Evaluación de tres bioestimulantes, en el cultivo del maíz  en las condiciones edafoclimáticas de la provincia Santiago de Cuba. Tesis presentada en opción al Título de Ingeniero Agrónomo, Facultad de Ciencias Agrícolas, Universidad de Granma, Bayamo, Cuba.</w:t>
      </w:r>
    </w:p>
    <w:p w14:paraId="232CE636" w14:textId="421778FB" w:rsid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 xml:space="preserve">Ramos, B. L. R., Montenegro, S. T. C., y Pereira, S. N. (2017) “Perspectivas para o uso da quitosana agricultura”. Revista Iberoamericana de Polímeros, vol. 12, no. 4, 2017, pp. 195–215, ISSN 0121-6651, </w:t>
      </w:r>
      <w:r w:rsidR="006C6A28">
        <w:rPr>
          <w:rFonts w:ascii="Times New Roman" w:hAnsi="Times New Roman" w:cs="Times New Roman"/>
          <w:sz w:val="24"/>
          <w:szCs w:val="24"/>
        </w:rPr>
        <w:t xml:space="preserve">en: </w:t>
      </w:r>
      <w:hyperlink r:id="rId27" w:history="1">
        <w:r w:rsidR="006C6A28" w:rsidRPr="004828A2">
          <w:rPr>
            <w:rStyle w:val="Hipervnculo"/>
            <w:rFonts w:ascii="Times New Roman" w:hAnsi="Times New Roman" w:cs="Times New Roman"/>
            <w:sz w:val="24"/>
            <w:szCs w:val="24"/>
          </w:rPr>
          <w:t>http://www.ehu.us/reviberpol/pdf/AGO11/ramos.pdf</w:t>
        </w:r>
      </w:hyperlink>
    </w:p>
    <w:p w14:paraId="16A2E498" w14:textId="75DBEA72"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Rivera, R., Calderón, A., Nápoles, M. C. (2015). La factibilidad de la aplicación conjunta de biofertilizantes y bioestimulantes en el cultivo del frijol. Instituto Nacional de Ciencias Agrícolas, Cuba.</w:t>
      </w:r>
    </w:p>
    <w:p w14:paraId="0228549E" w14:textId="06A0B879" w:rsidR="00AD03FF"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Rosabal, A. L., Martínez, G. L., Reyes, G. Y. y Núñez, V. M. (2013) “Resultados preliminares del efecto de la aplicación de Biobras-16 en el cultivo del frijol (</w:t>
      </w:r>
      <w:r w:rsidRPr="006C6A28">
        <w:rPr>
          <w:rFonts w:ascii="Times New Roman" w:hAnsi="Times New Roman" w:cs="Times New Roman"/>
          <w:i/>
          <w:sz w:val="24"/>
          <w:szCs w:val="24"/>
        </w:rPr>
        <w:t>Phaseolus</w:t>
      </w:r>
      <w:r w:rsidR="00E51F49" w:rsidRPr="006C6A28">
        <w:rPr>
          <w:rFonts w:ascii="Times New Roman" w:hAnsi="Times New Roman" w:cs="Times New Roman"/>
          <w:sz w:val="24"/>
          <w:szCs w:val="24"/>
        </w:rPr>
        <w:t xml:space="preserve"> </w:t>
      </w:r>
      <w:r w:rsidRPr="006C6A28">
        <w:rPr>
          <w:rFonts w:ascii="Times New Roman" w:hAnsi="Times New Roman" w:cs="Times New Roman"/>
          <w:i/>
          <w:sz w:val="24"/>
          <w:szCs w:val="24"/>
        </w:rPr>
        <w:t>vulgaris</w:t>
      </w:r>
      <w:r w:rsidRPr="006C6A28">
        <w:rPr>
          <w:rFonts w:ascii="Times New Roman" w:hAnsi="Times New Roman" w:cs="Times New Roman"/>
          <w:sz w:val="24"/>
          <w:szCs w:val="24"/>
        </w:rPr>
        <w:t xml:space="preserve"> L.)”. Cultivos Tropicales, vol. 34, no. 3, 2013, pp. 71-75, ISSN 0258-5936, </w:t>
      </w:r>
      <w:hyperlink r:id="rId28" w:history="1">
        <w:r w:rsidR="006C6A28" w:rsidRPr="004828A2">
          <w:rPr>
            <w:rStyle w:val="Hipervnculo"/>
            <w:rFonts w:ascii="Times New Roman" w:hAnsi="Times New Roman" w:cs="Times New Roman"/>
            <w:sz w:val="24"/>
            <w:szCs w:val="24"/>
          </w:rPr>
          <w:t>http://scielo.sld.cu/scielo.php?script=sci_abstract&amp;pid=S0258-59362013000300011&amp;lng=es&amp;nrm=iso&amp;tlng=es</w:t>
        </w:r>
      </w:hyperlink>
      <w:r w:rsidRPr="006C6A28">
        <w:rPr>
          <w:rFonts w:ascii="Times New Roman" w:hAnsi="Times New Roman" w:cs="Times New Roman"/>
          <w:sz w:val="24"/>
          <w:szCs w:val="24"/>
        </w:rPr>
        <w:t>.</w:t>
      </w:r>
    </w:p>
    <w:p w14:paraId="68FCFF11" w14:textId="1C201445" w:rsidR="0040344E" w:rsidRDefault="00AD03FF" w:rsidP="0040344E">
      <w:pPr>
        <w:spacing w:after="120" w:line="360" w:lineRule="auto"/>
        <w:ind w:left="426" w:hanging="426"/>
        <w:contextualSpacing/>
        <w:jc w:val="both"/>
        <w:rPr>
          <w:rFonts w:ascii="Times New Roman" w:hAnsi="Times New Roman" w:cs="Times New Roman"/>
          <w:sz w:val="24"/>
          <w:szCs w:val="24"/>
          <w:lang w:val="en-US"/>
        </w:rPr>
      </w:pPr>
      <w:r w:rsidRPr="006C6A28">
        <w:rPr>
          <w:rFonts w:ascii="Times New Roman" w:hAnsi="Times New Roman" w:cs="Times New Roman"/>
          <w:sz w:val="24"/>
          <w:szCs w:val="24"/>
        </w:rPr>
        <w:t xml:space="preserve">Sheikha, S. A. y Al-Malki, F. M. (2011). </w:t>
      </w:r>
      <w:r w:rsidRPr="006C6A28">
        <w:rPr>
          <w:rFonts w:ascii="Times New Roman" w:hAnsi="Times New Roman" w:cs="Times New Roman"/>
          <w:sz w:val="24"/>
          <w:szCs w:val="24"/>
          <w:lang w:val="en-US"/>
        </w:rPr>
        <w:t>“Growth and chlorophyll responses of bean plants to the chitosan applications”. European</w:t>
      </w:r>
      <w:r w:rsidR="00E51F49" w:rsidRPr="006C6A28">
        <w:rPr>
          <w:rFonts w:ascii="Times New Roman" w:hAnsi="Times New Roman" w:cs="Times New Roman"/>
          <w:sz w:val="24"/>
          <w:szCs w:val="24"/>
          <w:lang w:val="en-US"/>
        </w:rPr>
        <w:t xml:space="preserve"> </w:t>
      </w:r>
      <w:r w:rsidRPr="006C6A28">
        <w:rPr>
          <w:rFonts w:ascii="Times New Roman" w:hAnsi="Times New Roman" w:cs="Times New Roman"/>
          <w:sz w:val="24"/>
          <w:szCs w:val="24"/>
          <w:lang w:val="en-US"/>
        </w:rPr>
        <w:t>Journal of Scientific</w:t>
      </w:r>
      <w:r w:rsidR="00E51F49" w:rsidRPr="006C6A28">
        <w:rPr>
          <w:rFonts w:ascii="Times New Roman" w:hAnsi="Times New Roman" w:cs="Times New Roman"/>
          <w:sz w:val="24"/>
          <w:szCs w:val="24"/>
          <w:lang w:val="en-US"/>
        </w:rPr>
        <w:t xml:space="preserve"> </w:t>
      </w:r>
      <w:r w:rsidRPr="006C6A28">
        <w:rPr>
          <w:rFonts w:ascii="Times New Roman" w:hAnsi="Times New Roman" w:cs="Times New Roman"/>
          <w:sz w:val="24"/>
          <w:szCs w:val="24"/>
          <w:lang w:val="en-US"/>
        </w:rPr>
        <w:t xml:space="preserve">Research, vol. 50, no. 1, 2011, pp. 124–134, ISSN 1450-216X, </w:t>
      </w:r>
      <w:r w:rsidR="0040344E">
        <w:rPr>
          <w:rFonts w:ascii="Times New Roman" w:hAnsi="Times New Roman" w:cs="Times New Roman"/>
          <w:sz w:val="24"/>
          <w:szCs w:val="24"/>
          <w:lang w:val="en-US"/>
        </w:rPr>
        <w:t>de</w:t>
      </w:r>
      <w:r w:rsidRPr="006C6A28">
        <w:rPr>
          <w:rFonts w:ascii="Times New Roman" w:hAnsi="Times New Roman" w:cs="Times New Roman"/>
          <w:sz w:val="24"/>
          <w:szCs w:val="24"/>
          <w:lang w:val="en-US"/>
        </w:rPr>
        <w:t xml:space="preserve">: </w:t>
      </w:r>
      <w:hyperlink r:id="rId29" w:history="1">
        <w:r w:rsidR="0040344E" w:rsidRPr="004828A2">
          <w:rPr>
            <w:rStyle w:val="Hipervnculo"/>
            <w:rFonts w:ascii="Times New Roman" w:hAnsi="Times New Roman" w:cs="Times New Roman"/>
            <w:sz w:val="24"/>
            <w:szCs w:val="24"/>
            <w:lang w:val="en-US"/>
          </w:rPr>
          <w:t>http://s3.amazonaws.com/zanran_storage/www.eurojournals.com/</w:t>
        </w:r>
      </w:hyperlink>
    </w:p>
    <w:p w14:paraId="021C6E00" w14:textId="11E4FAFA" w:rsidR="00E51F49" w:rsidRPr="006C6A28" w:rsidRDefault="00AD03FF" w:rsidP="0040344E">
      <w:pPr>
        <w:pStyle w:val="Prrafodelista"/>
        <w:spacing w:after="120" w:line="360" w:lineRule="auto"/>
        <w:ind w:left="426" w:hanging="426"/>
        <w:jc w:val="both"/>
        <w:rPr>
          <w:rFonts w:ascii="Times New Roman" w:hAnsi="Times New Roman" w:cs="Times New Roman"/>
          <w:sz w:val="24"/>
          <w:szCs w:val="24"/>
        </w:rPr>
      </w:pPr>
      <w:r w:rsidRPr="006C6A28">
        <w:rPr>
          <w:rFonts w:ascii="Times New Roman" w:hAnsi="Times New Roman" w:cs="Times New Roman"/>
          <w:sz w:val="24"/>
          <w:szCs w:val="24"/>
          <w:lang w:val="pt-PT"/>
        </w:rPr>
        <w:lastRenderedPageBreak/>
        <w:t xml:space="preserve">Terry, E., Ruiz, J., Tejeda, T.,  (2014). </w:t>
      </w:r>
      <w:r w:rsidRPr="006C6A28">
        <w:rPr>
          <w:rFonts w:ascii="Times New Roman" w:hAnsi="Times New Roman" w:cs="Times New Roman"/>
          <w:sz w:val="24"/>
          <w:szCs w:val="24"/>
        </w:rPr>
        <w:t xml:space="preserve">Interacción de bioproductos como alternativas para la producción horticultura cubana. Medio Ambiente y Desarrollo Sustentable, </w:t>
      </w:r>
      <w:r w:rsidR="00E51F49" w:rsidRPr="006C6A28">
        <w:rPr>
          <w:rFonts w:ascii="Times New Roman" w:hAnsi="Times New Roman" w:cs="Times New Roman"/>
          <w:sz w:val="24"/>
          <w:szCs w:val="24"/>
        </w:rPr>
        <w:t>Cultivos Tropicales, 32 (1),134-139,</w:t>
      </w:r>
    </w:p>
    <w:p w14:paraId="17B4AC1A" w14:textId="187D06A4"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Torres, J.A., Reyes, J.J., González, L.G., Jiménez, M.; Boicet, T.; Enríquez, E.A.; Rodríguez, A.T.; Ramírez, M.A. y González, J.C. (2018). Respuesta agronómica de dos variedades de maíz blanco (</w:t>
      </w:r>
      <w:r w:rsidRPr="006C6A28">
        <w:rPr>
          <w:rFonts w:ascii="Times New Roman" w:hAnsi="Times New Roman" w:cs="Times New Roman"/>
          <w:i/>
          <w:sz w:val="24"/>
          <w:szCs w:val="24"/>
        </w:rPr>
        <w:t>Zeas mays</w:t>
      </w:r>
      <w:r w:rsidRPr="006C6A28">
        <w:rPr>
          <w:rFonts w:ascii="Times New Roman" w:hAnsi="Times New Roman" w:cs="Times New Roman"/>
          <w:sz w:val="24"/>
          <w:szCs w:val="24"/>
        </w:rPr>
        <w:t xml:space="preserve">, L.)a la aplicación de Quitomax, Azofert-F y Ecomic. Revista de Ciencias Biológicas y de la Salud. Volumen XX, Número 1. Universidad de Sonora. Disponible en: http://biotecnia.unison.mx. Consultado el 12 de julio de 2020. </w:t>
      </w:r>
    </w:p>
    <w:p w14:paraId="514540D9" w14:textId="00E3D576" w:rsidR="00AD03FF" w:rsidRPr="006C6A28" w:rsidRDefault="00AD03FF" w:rsidP="0040344E">
      <w:pPr>
        <w:spacing w:after="120" w:line="360" w:lineRule="auto"/>
        <w:ind w:left="426" w:hanging="426"/>
        <w:contextualSpacing/>
        <w:jc w:val="both"/>
        <w:rPr>
          <w:rFonts w:ascii="Times New Roman" w:hAnsi="Times New Roman" w:cs="Times New Roman"/>
          <w:sz w:val="24"/>
          <w:szCs w:val="24"/>
        </w:rPr>
      </w:pPr>
      <w:r w:rsidRPr="006C6A28">
        <w:rPr>
          <w:rFonts w:ascii="Times New Roman" w:hAnsi="Times New Roman" w:cs="Times New Roman"/>
          <w:sz w:val="24"/>
          <w:szCs w:val="24"/>
        </w:rPr>
        <w:t>Viñals, M. E., Ortiz, R., Ponce, P. y Ríos, H. (2022). Análisis de la diversidad fenotípica de variedades de frijol (P. vulgaris L.) utilizadas  por  los  campesinos  en  la comunidad "La Palma" en Pinar del Río. Cultivos Tropicales, 23 (1): 15-19.</w:t>
      </w:r>
    </w:p>
    <w:sectPr w:rsidR="00AD03FF" w:rsidRPr="006C6A28" w:rsidSect="006C6A28">
      <w:headerReference w:type="default" r:id="rId30"/>
      <w:footerReference w:type="default" r:id="rId31"/>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015B" w14:textId="77777777" w:rsidR="007F542E" w:rsidRDefault="007F542E" w:rsidP="007F542E">
      <w:pPr>
        <w:spacing w:after="0" w:line="240" w:lineRule="auto"/>
      </w:pPr>
      <w:r>
        <w:separator/>
      </w:r>
    </w:p>
  </w:endnote>
  <w:endnote w:type="continuationSeparator" w:id="0">
    <w:p w14:paraId="21F68D85" w14:textId="77777777" w:rsidR="007F542E" w:rsidRDefault="007F542E" w:rsidP="007F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049A" w14:textId="395F0432" w:rsidR="007F542E" w:rsidRPr="007F542E" w:rsidRDefault="00CD4C2D" w:rsidP="007F542E">
    <w:pPr>
      <w:pStyle w:val="Piedepgina"/>
      <w:jc w:val="right"/>
      <w:rPr>
        <w:rFonts w:ascii="Times New Roman" w:hAnsi="Times New Roman" w:cs="Times New Roman"/>
        <w:b/>
        <w:bCs/>
        <w:i/>
        <w:iCs/>
      </w:rPr>
    </w:pPr>
    <w:hyperlink r:id="rId1" w:history="1">
      <w:r w:rsidR="007F542E" w:rsidRPr="001A5AD4">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E4D1" w14:textId="77777777" w:rsidR="007F542E" w:rsidRDefault="007F542E" w:rsidP="007F542E">
      <w:pPr>
        <w:spacing w:after="0" w:line="240" w:lineRule="auto"/>
      </w:pPr>
      <w:r>
        <w:separator/>
      </w:r>
    </w:p>
  </w:footnote>
  <w:footnote w:type="continuationSeparator" w:id="0">
    <w:p w14:paraId="14E364FE" w14:textId="77777777" w:rsidR="007F542E" w:rsidRDefault="007F542E" w:rsidP="007F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BE0C" w14:textId="10631120" w:rsidR="007F542E" w:rsidRPr="007F542E" w:rsidRDefault="007F542E" w:rsidP="007F542E">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 xml:space="preserve">.4, </w:t>
    </w:r>
    <w:r w:rsidRPr="007052B6">
      <w:rPr>
        <w:rFonts w:ascii="Times New Roman" w:hAnsi="Times New Roman" w:cs="Times New Roman"/>
        <w:b/>
        <w:bCs/>
        <w:i/>
        <w:iCs/>
      </w:rPr>
      <w:t>Nro</w:t>
    </w:r>
    <w:r>
      <w:rPr>
        <w:rFonts w:ascii="Times New Roman" w:hAnsi="Times New Roman" w:cs="Times New Roman"/>
        <w:b/>
        <w:bCs/>
        <w:i/>
        <w:iCs/>
      </w:rPr>
      <w:t>1</w:t>
    </w:r>
    <w:r w:rsidRPr="007052B6">
      <w:rPr>
        <w:rFonts w:ascii="Times New Roman" w:hAnsi="Times New Roman" w:cs="Times New Roman"/>
        <w:b/>
        <w:bCs/>
        <w:i/>
        <w:iCs/>
      </w:rPr>
      <w:t xml:space="preserve">. </w:t>
    </w:r>
    <w:r>
      <w:rPr>
        <w:rFonts w:ascii="Times New Roman" w:hAnsi="Times New Roman" w:cs="Times New Roman"/>
        <w:b/>
        <w:bCs/>
        <w:i/>
        <w:iCs/>
      </w:rPr>
      <w:t>Enero</w:t>
    </w:r>
    <w:r w:rsidRPr="007052B6">
      <w:rPr>
        <w:rFonts w:ascii="Times New Roman" w:hAnsi="Times New Roman" w:cs="Times New Roman"/>
        <w:b/>
        <w:bCs/>
        <w:i/>
        <w:iCs/>
      </w:rPr>
      <w:t xml:space="preserve"> – </w:t>
    </w:r>
    <w:r>
      <w:rPr>
        <w:rFonts w:ascii="Times New Roman" w:hAnsi="Times New Roman" w:cs="Times New Roman"/>
        <w:b/>
        <w:bCs/>
        <w:i/>
        <w:iCs/>
      </w:rPr>
      <w:t>Junio</w:t>
    </w:r>
    <w:r w:rsidRPr="007052B6">
      <w:rPr>
        <w:rFonts w:ascii="Times New Roman" w:hAnsi="Times New Roman" w:cs="Times New Roman"/>
        <w:b/>
        <w:bCs/>
        <w:i/>
        <w:iCs/>
      </w:rPr>
      <w:t xml:space="preserve"> de 202</w:t>
    </w:r>
    <w:r>
      <w:rPr>
        <w:rFonts w:ascii="Times New Roman" w:hAnsi="Times New Roman" w:cs="Times New Roman"/>
        <w:b/>
        <w:bCs/>
        <w:i/>
        <w:iCs/>
      </w:rPr>
      <w:t>6</w:t>
    </w:r>
    <w:r w:rsidRPr="007052B6">
      <w:rPr>
        <w:rFonts w:ascii="Times New Roman" w:hAnsi="Times New Roman" w:cs="Times New Roman"/>
        <w:b/>
        <w:bCs/>
        <w:i/>
        <w:iCs/>
      </w:rPr>
      <w:t xml:space="preserve">. ISSN: </w:t>
    </w:r>
    <w:r>
      <w:rPr>
        <w:rFonts w:ascii="Times New Roman" w:hAnsi="Times New Roman" w:cs="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D8F"/>
    <w:multiLevelType w:val="hybridMultilevel"/>
    <w:tmpl w:val="4B0C9D82"/>
    <w:lvl w:ilvl="0" w:tplc="6F36D1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D73A6"/>
    <w:multiLevelType w:val="hybridMultilevel"/>
    <w:tmpl w:val="3734413A"/>
    <w:lvl w:ilvl="0" w:tplc="1A9E8B80">
      <w:start w:val="1"/>
      <w:numFmt w:val="decimal"/>
      <w:lvlText w:val="(%1)"/>
      <w:lvlJc w:val="left"/>
      <w:pPr>
        <w:ind w:left="930" w:hanging="570"/>
      </w:pPr>
      <w:rPr>
        <w:rFonts w:eastAsiaTheme="minorHAnsi"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0A191444"/>
    <w:multiLevelType w:val="hybridMultilevel"/>
    <w:tmpl w:val="6FA47B8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0E9813FA"/>
    <w:multiLevelType w:val="hybridMultilevel"/>
    <w:tmpl w:val="2C92270C"/>
    <w:lvl w:ilvl="0" w:tplc="90DE26F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BA4668"/>
    <w:multiLevelType w:val="hybridMultilevel"/>
    <w:tmpl w:val="9E9417D8"/>
    <w:lvl w:ilvl="0" w:tplc="5C0A0001">
      <w:start w:val="1"/>
      <w:numFmt w:val="bullet"/>
      <w:lvlText w:val=""/>
      <w:lvlJc w:val="left"/>
      <w:pPr>
        <w:ind w:left="1080" w:hanging="360"/>
      </w:pPr>
      <w:rPr>
        <w:rFonts w:ascii="Symbol" w:hAnsi="Symbol"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5" w15:restartNumberingAfterBreak="0">
    <w:nsid w:val="1FD56E48"/>
    <w:multiLevelType w:val="hybridMultilevel"/>
    <w:tmpl w:val="BB1A6324"/>
    <w:lvl w:ilvl="0" w:tplc="2BE44F90">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E7F6E01"/>
    <w:multiLevelType w:val="hybridMultilevel"/>
    <w:tmpl w:val="EF4E112C"/>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31499F"/>
    <w:multiLevelType w:val="hybridMultilevel"/>
    <w:tmpl w:val="D36EB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363690"/>
    <w:multiLevelType w:val="hybridMultilevel"/>
    <w:tmpl w:val="B122EE46"/>
    <w:lvl w:ilvl="0" w:tplc="1BDE740E">
      <w:start w:val="1"/>
      <w:numFmt w:val="upperRoman"/>
      <w:lvlText w:val="%1."/>
      <w:lvlJc w:val="left"/>
      <w:pPr>
        <w:ind w:left="1080" w:hanging="720"/>
      </w:pPr>
      <w:rPr>
        <w:rFonts w:eastAsia="Calibri"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FD539A"/>
    <w:multiLevelType w:val="hybridMultilevel"/>
    <w:tmpl w:val="E098A43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6A312BB1"/>
    <w:multiLevelType w:val="hybridMultilevel"/>
    <w:tmpl w:val="D272F7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BED13CF"/>
    <w:multiLevelType w:val="multilevel"/>
    <w:tmpl w:val="B67A166C"/>
    <w:lvl w:ilvl="0">
      <w:start w:val="2"/>
      <w:numFmt w:val="decimal"/>
      <w:lvlText w:val="%1"/>
      <w:lvlJc w:val="left"/>
      <w:pPr>
        <w:ind w:left="525" w:hanging="525"/>
      </w:pPr>
      <w:rPr>
        <w:rFonts w:hint="default"/>
        <w:b/>
        <w:i/>
      </w:rPr>
    </w:lvl>
    <w:lvl w:ilvl="1">
      <w:start w:val="1"/>
      <w:numFmt w:val="decimal"/>
      <w:lvlText w:val="%1.%2"/>
      <w:lvlJc w:val="left"/>
      <w:pPr>
        <w:ind w:left="525" w:hanging="525"/>
      </w:pPr>
      <w:rPr>
        <w:rFonts w:hint="default"/>
        <w:b/>
        <w:i/>
      </w:rPr>
    </w:lvl>
    <w:lvl w:ilvl="2">
      <w:start w:val="2"/>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12" w15:restartNumberingAfterBreak="0">
    <w:nsid w:val="7D8B0B0E"/>
    <w:multiLevelType w:val="multilevel"/>
    <w:tmpl w:val="ACF6FB22"/>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Arial" w:eastAsia="Arial" w:hAnsi="Arial" w:cs="Arial"/>
        <w:b/>
        <w:bCs/>
        <w:i/>
        <w:iCs/>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2"/>
  </w:num>
  <w:num w:numId="5">
    <w:abstractNumId w:val="11"/>
  </w:num>
  <w:num w:numId="6">
    <w:abstractNumId w:val="7"/>
  </w:num>
  <w:num w:numId="7">
    <w:abstractNumId w:val="8"/>
  </w:num>
  <w:num w:numId="8">
    <w:abstractNumId w:val="6"/>
  </w:num>
  <w:num w:numId="9">
    <w:abstractNumId w:val="10"/>
  </w:num>
  <w:num w:numId="10">
    <w:abstractNumId w:val="4"/>
  </w:num>
  <w:num w:numId="11">
    <w:abstractNumId w:val="9"/>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402"/>
    <w:rsid w:val="0000507B"/>
    <w:rsid w:val="00012F67"/>
    <w:rsid w:val="00017416"/>
    <w:rsid w:val="00022FD1"/>
    <w:rsid w:val="00055B5B"/>
    <w:rsid w:val="000704D7"/>
    <w:rsid w:val="000C2DE2"/>
    <w:rsid w:val="000C7D1A"/>
    <w:rsid w:val="000F17BA"/>
    <w:rsid w:val="00101295"/>
    <w:rsid w:val="00103198"/>
    <w:rsid w:val="00106062"/>
    <w:rsid w:val="001064FF"/>
    <w:rsid w:val="00122402"/>
    <w:rsid w:val="00125287"/>
    <w:rsid w:val="00156D3B"/>
    <w:rsid w:val="001604C0"/>
    <w:rsid w:val="001674CF"/>
    <w:rsid w:val="001828CB"/>
    <w:rsid w:val="00194A7E"/>
    <w:rsid w:val="001A0132"/>
    <w:rsid w:val="001C14A4"/>
    <w:rsid w:val="00216C85"/>
    <w:rsid w:val="00237688"/>
    <w:rsid w:val="002574C7"/>
    <w:rsid w:val="00263841"/>
    <w:rsid w:val="00266769"/>
    <w:rsid w:val="00281EB0"/>
    <w:rsid w:val="00297F17"/>
    <w:rsid w:val="002D167C"/>
    <w:rsid w:val="002D3A41"/>
    <w:rsid w:val="003102EF"/>
    <w:rsid w:val="00313F25"/>
    <w:rsid w:val="00321981"/>
    <w:rsid w:val="003456C2"/>
    <w:rsid w:val="003749A6"/>
    <w:rsid w:val="00376CFB"/>
    <w:rsid w:val="003800AE"/>
    <w:rsid w:val="0038339B"/>
    <w:rsid w:val="0038417B"/>
    <w:rsid w:val="003B061E"/>
    <w:rsid w:val="003B126C"/>
    <w:rsid w:val="003C21C4"/>
    <w:rsid w:val="003C2455"/>
    <w:rsid w:val="003C3957"/>
    <w:rsid w:val="0040344E"/>
    <w:rsid w:val="004130E5"/>
    <w:rsid w:val="00415FC1"/>
    <w:rsid w:val="00427A83"/>
    <w:rsid w:val="0046680A"/>
    <w:rsid w:val="00492932"/>
    <w:rsid w:val="004972CD"/>
    <w:rsid w:val="004A113F"/>
    <w:rsid w:val="004D577B"/>
    <w:rsid w:val="00503B66"/>
    <w:rsid w:val="00507A29"/>
    <w:rsid w:val="005122B7"/>
    <w:rsid w:val="005340E1"/>
    <w:rsid w:val="00545113"/>
    <w:rsid w:val="00553715"/>
    <w:rsid w:val="00584D0D"/>
    <w:rsid w:val="00591609"/>
    <w:rsid w:val="00595840"/>
    <w:rsid w:val="005A1D1F"/>
    <w:rsid w:val="005C5BE8"/>
    <w:rsid w:val="005C5D92"/>
    <w:rsid w:val="005D4FE0"/>
    <w:rsid w:val="00615504"/>
    <w:rsid w:val="00623D78"/>
    <w:rsid w:val="00627C91"/>
    <w:rsid w:val="00640C79"/>
    <w:rsid w:val="00663F0F"/>
    <w:rsid w:val="00667A6E"/>
    <w:rsid w:val="00677E51"/>
    <w:rsid w:val="006863C1"/>
    <w:rsid w:val="00697C12"/>
    <w:rsid w:val="006A4C39"/>
    <w:rsid w:val="006B3253"/>
    <w:rsid w:val="006C3543"/>
    <w:rsid w:val="006C6A28"/>
    <w:rsid w:val="006D19F6"/>
    <w:rsid w:val="006D45E7"/>
    <w:rsid w:val="006D7AA1"/>
    <w:rsid w:val="006F3EF3"/>
    <w:rsid w:val="007059FC"/>
    <w:rsid w:val="00715D99"/>
    <w:rsid w:val="007574D6"/>
    <w:rsid w:val="00760647"/>
    <w:rsid w:val="007744EE"/>
    <w:rsid w:val="00781C9C"/>
    <w:rsid w:val="007914A3"/>
    <w:rsid w:val="007A67EB"/>
    <w:rsid w:val="007A7521"/>
    <w:rsid w:val="007B0570"/>
    <w:rsid w:val="007F542E"/>
    <w:rsid w:val="00827DE0"/>
    <w:rsid w:val="00830C65"/>
    <w:rsid w:val="00833558"/>
    <w:rsid w:val="00834CEE"/>
    <w:rsid w:val="00843C5C"/>
    <w:rsid w:val="00884C7E"/>
    <w:rsid w:val="008A51C8"/>
    <w:rsid w:val="008A7470"/>
    <w:rsid w:val="008B6750"/>
    <w:rsid w:val="008C474B"/>
    <w:rsid w:val="008F6300"/>
    <w:rsid w:val="008F7558"/>
    <w:rsid w:val="009053C0"/>
    <w:rsid w:val="00914654"/>
    <w:rsid w:val="00914CF7"/>
    <w:rsid w:val="00935332"/>
    <w:rsid w:val="0093690D"/>
    <w:rsid w:val="00963EE5"/>
    <w:rsid w:val="009661CB"/>
    <w:rsid w:val="0097369D"/>
    <w:rsid w:val="00975F2C"/>
    <w:rsid w:val="009833DA"/>
    <w:rsid w:val="0098542F"/>
    <w:rsid w:val="0098748C"/>
    <w:rsid w:val="00987B73"/>
    <w:rsid w:val="009C3417"/>
    <w:rsid w:val="009E0FB4"/>
    <w:rsid w:val="009F1B2E"/>
    <w:rsid w:val="009F30B4"/>
    <w:rsid w:val="00A2098D"/>
    <w:rsid w:val="00A32F94"/>
    <w:rsid w:val="00A55DC9"/>
    <w:rsid w:val="00A86D38"/>
    <w:rsid w:val="00A941A4"/>
    <w:rsid w:val="00AC62B3"/>
    <w:rsid w:val="00AD03FF"/>
    <w:rsid w:val="00AD1C67"/>
    <w:rsid w:val="00AD3FEC"/>
    <w:rsid w:val="00AD5056"/>
    <w:rsid w:val="00AD7449"/>
    <w:rsid w:val="00B03FFB"/>
    <w:rsid w:val="00B10CB2"/>
    <w:rsid w:val="00B12A2C"/>
    <w:rsid w:val="00B4010B"/>
    <w:rsid w:val="00B74495"/>
    <w:rsid w:val="00B9195E"/>
    <w:rsid w:val="00BB596B"/>
    <w:rsid w:val="00BD0444"/>
    <w:rsid w:val="00BE15A1"/>
    <w:rsid w:val="00BE53AF"/>
    <w:rsid w:val="00C1128B"/>
    <w:rsid w:val="00C33BEC"/>
    <w:rsid w:val="00C42115"/>
    <w:rsid w:val="00C475DE"/>
    <w:rsid w:val="00C63A0B"/>
    <w:rsid w:val="00C6424D"/>
    <w:rsid w:val="00C643D0"/>
    <w:rsid w:val="00C7284F"/>
    <w:rsid w:val="00C775E8"/>
    <w:rsid w:val="00C809B0"/>
    <w:rsid w:val="00C90E40"/>
    <w:rsid w:val="00CB29EE"/>
    <w:rsid w:val="00CD4C2D"/>
    <w:rsid w:val="00CD5836"/>
    <w:rsid w:val="00CE00E6"/>
    <w:rsid w:val="00CE3B1D"/>
    <w:rsid w:val="00CE4D90"/>
    <w:rsid w:val="00CF3E17"/>
    <w:rsid w:val="00D11376"/>
    <w:rsid w:val="00D11A10"/>
    <w:rsid w:val="00D268A8"/>
    <w:rsid w:val="00D317D5"/>
    <w:rsid w:val="00D32973"/>
    <w:rsid w:val="00D543BD"/>
    <w:rsid w:val="00D661A7"/>
    <w:rsid w:val="00D66893"/>
    <w:rsid w:val="00DA2DCF"/>
    <w:rsid w:val="00DC11E7"/>
    <w:rsid w:val="00DD3C0C"/>
    <w:rsid w:val="00DE5C3C"/>
    <w:rsid w:val="00E013F4"/>
    <w:rsid w:val="00E0516C"/>
    <w:rsid w:val="00E06CD5"/>
    <w:rsid w:val="00E14E87"/>
    <w:rsid w:val="00E32E3F"/>
    <w:rsid w:val="00E43D9F"/>
    <w:rsid w:val="00E47F40"/>
    <w:rsid w:val="00E51F49"/>
    <w:rsid w:val="00E5675D"/>
    <w:rsid w:val="00E57D75"/>
    <w:rsid w:val="00E60397"/>
    <w:rsid w:val="00E87ECD"/>
    <w:rsid w:val="00EA03E9"/>
    <w:rsid w:val="00EC3089"/>
    <w:rsid w:val="00EC6608"/>
    <w:rsid w:val="00ED3A15"/>
    <w:rsid w:val="00EF76D7"/>
    <w:rsid w:val="00F139AF"/>
    <w:rsid w:val="00F426EC"/>
    <w:rsid w:val="00F541DA"/>
    <w:rsid w:val="00F70A81"/>
    <w:rsid w:val="00F75287"/>
    <w:rsid w:val="00F856C1"/>
    <w:rsid w:val="00FA0637"/>
    <w:rsid w:val="00FA318B"/>
    <w:rsid w:val="00FD3D59"/>
    <w:rsid w:val="00FE02AB"/>
    <w:rsid w:val="00FE5B91"/>
    <w:rsid w:val="00FF53C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6F00"/>
  <w15:docId w15:val="{84289364-665F-4EC5-A79D-3AA3902B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E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qFormat/>
    <w:rsid w:val="00427A83"/>
    <w:pPr>
      <w:spacing w:after="0"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42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667A6E"/>
    <w:pPr>
      <w:ind w:left="720"/>
      <w:contextualSpacing/>
    </w:pPr>
  </w:style>
  <w:style w:type="character" w:styleId="Hipervnculo">
    <w:name w:val="Hyperlink"/>
    <w:basedOn w:val="Fuentedeprrafopredeter"/>
    <w:uiPriority w:val="99"/>
    <w:unhideWhenUsed/>
    <w:rsid w:val="00F70A81"/>
    <w:rPr>
      <w:color w:val="0563C1" w:themeColor="hyperlink"/>
      <w:u w:val="single"/>
    </w:rPr>
  </w:style>
  <w:style w:type="character" w:customStyle="1" w:styleId="Ttulo1">
    <w:name w:val="Título #1_"/>
    <w:basedOn w:val="Fuentedeprrafopredeter"/>
    <w:link w:val="Ttulo10"/>
    <w:rsid w:val="00C42115"/>
    <w:rPr>
      <w:rFonts w:ascii="Arial" w:eastAsia="Arial" w:hAnsi="Arial" w:cs="Arial"/>
      <w:b/>
      <w:bCs/>
    </w:rPr>
  </w:style>
  <w:style w:type="paragraph" w:customStyle="1" w:styleId="Ttulo10">
    <w:name w:val="Título #1"/>
    <w:basedOn w:val="Normal"/>
    <w:link w:val="Ttulo1"/>
    <w:rsid w:val="00C42115"/>
    <w:pPr>
      <w:widowControl w:val="0"/>
      <w:spacing w:after="200" w:line="360" w:lineRule="auto"/>
      <w:outlineLvl w:val="0"/>
    </w:pPr>
    <w:rPr>
      <w:rFonts w:ascii="Arial" w:eastAsia="Arial" w:hAnsi="Arial" w:cs="Arial"/>
      <w:b/>
      <w:bCs/>
    </w:rPr>
  </w:style>
  <w:style w:type="paragraph" w:styleId="Textodeglobo">
    <w:name w:val="Balloon Text"/>
    <w:basedOn w:val="Normal"/>
    <w:link w:val="TextodegloboCar"/>
    <w:uiPriority w:val="99"/>
    <w:semiHidden/>
    <w:unhideWhenUsed/>
    <w:rsid w:val="003B12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26C"/>
    <w:rPr>
      <w:rFonts w:ascii="Tahoma" w:hAnsi="Tahoma" w:cs="Tahoma"/>
      <w:sz w:val="16"/>
      <w:szCs w:val="16"/>
    </w:rPr>
  </w:style>
  <w:style w:type="character" w:customStyle="1" w:styleId="ztplmc">
    <w:name w:val="ztplmc"/>
    <w:basedOn w:val="Fuentedeprrafopredeter"/>
    <w:rsid w:val="001604C0"/>
  </w:style>
  <w:style w:type="character" w:customStyle="1" w:styleId="hwtze">
    <w:name w:val="hwtze"/>
    <w:basedOn w:val="Fuentedeprrafopredeter"/>
    <w:rsid w:val="001604C0"/>
  </w:style>
  <w:style w:type="character" w:customStyle="1" w:styleId="rynqvb">
    <w:name w:val="rynqvb"/>
    <w:basedOn w:val="Fuentedeprrafopredeter"/>
    <w:rsid w:val="001604C0"/>
  </w:style>
  <w:style w:type="character" w:customStyle="1" w:styleId="PrrafodelistaCar">
    <w:name w:val="Párrafo de lista Car"/>
    <w:link w:val="Prrafodelista"/>
    <w:uiPriority w:val="34"/>
    <w:locked/>
    <w:rsid w:val="00E51F49"/>
  </w:style>
  <w:style w:type="character" w:styleId="Mencinsinresolver">
    <w:name w:val="Unresolved Mention"/>
    <w:basedOn w:val="Fuentedeprrafopredeter"/>
    <w:uiPriority w:val="99"/>
    <w:semiHidden/>
    <w:unhideWhenUsed/>
    <w:rsid w:val="006C6A28"/>
    <w:rPr>
      <w:color w:val="605E5C"/>
      <w:shd w:val="clear" w:color="auto" w:fill="E1DFDD"/>
    </w:rPr>
  </w:style>
  <w:style w:type="character" w:styleId="Hipervnculovisitado">
    <w:name w:val="FollowedHyperlink"/>
    <w:basedOn w:val="Fuentedeprrafopredeter"/>
    <w:uiPriority w:val="99"/>
    <w:semiHidden/>
    <w:unhideWhenUsed/>
    <w:rsid w:val="006C6A28"/>
    <w:rPr>
      <w:color w:val="954F72" w:themeColor="followedHyperlink"/>
      <w:u w:val="single"/>
    </w:rPr>
  </w:style>
  <w:style w:type="paragraph" w:styleId="Encabezado">
    <w:name w:val="header"/>
    <w:basedOn w:val="Normal"/>
    <w:link w:val="EncabezadoCar"/>
    <w:uiPriority w:val="99"/>
    <w:unhideWhenUsed/>
    <w:rsid w:val="007F54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542E"/>
  </w:style>
  <w:style w:type="paragraph" w:styleId="Piedepgina">
    <w:name w:val="footer"/>
    <w:basedOn w:val="Normal"/>
    <w:link w:val="PiedepginaCar"/>
    <w:uiPriority w:val="99"/>
    <w:unhideWhenUsed/>
    <w:rsid w:val="007F54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778452">
      <w:bodyDiv w:val="1"/>
      <w:marLeft w:val="0"/>
      <w:marRight w:val="0"/>
      <w:marTop w:val="0"/>
      <w:marBottom w:val="0"/>
      <w:divBdr>
        <w:top w:val="none" w:sz="0" w:space="0" w:color="auto"/>
        <w:left w:val="none" w:sz="0" w:space="0" w:color="auto"/>
        <w:bottom w:val="none" w:sz="0" w:space="0" w:color="auto"/>
        <w:right w:val="none" w:sz="0" w:space="0" w:color="auto"/>
      </w:divBdr>
      <w:divsChild>
        <w:div w:id="1980186075">
          <w:marLeft w:val="0"/>
          <w:marRight w:val="0"/>
          <w:marTop w:val="0"/>
          <w:marBottom w:val="0"/>
          <w:divBdr>
            <w:top w:val="none" w:sz="0" w:space="0" w:color="auto"/>
            <w:left w:val="none" w:sz="0" w:space="0" w:color="auto"/>
            <w:bottom w:val="none" w:sz="0" w:space="0" w:color="auto"/>
            <w:right w:val="none" w:sz="0" w:space="0" w:color="auto"/>
          </w:divBdr>
        </w:div>
        <w:div w:id="392970193">
          <w:marLeft w:val="0"/>
          <w:marRight w:val="0"/>
          <w:marTop w:val="0"/>
          <w:marBottom w:val="0"/>
          <w:divBdr>
            <w:top w:val="none" w:sz="0" w:space="0" w:color="auto"/>
            <w:left w:val="none" w:sz="0" w:space="0" w:color="auto"/>
            <w:bottom w:val="none" w:sz="0" w:space="0" w:color="auto"/>
            <w:right w:val="none" w:sz="0" w:space="0" w:color="auto"/>
          </w:divBdr>
          <w:divsChild>
            <w:div w:id="2103406924">
              <w:marLeft w:val="0"/>
              <w:marRight w:val="0"/>
              <w:marTop w:val="0"/>
              <w:marBottom w:val="0"/>
              <w:divBdr>
                <w:top w:val="none" w:sz="0" w:space="0" w:color="auto"/>
                <w:left w:val="none" w:sz="0" w:space="0" w:color="auto"/>
                <w:bottom w:val="none" w:sz="0" w:space="0" w:color="auto"/>
                <w:right w:val="none" w:sz="0" w:space="0" w:color="auto"/>
              </w:divBdr>
              <w:divsChild>
                <w:div w:id="1458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torresme@estudiantes.udg.co.cu" TargetMode="External"/><Relationship Id="rId18" Type="http://schemas.openxmlformats.org/officeDocument/2006/relationships/image" Target="media/image3.png"/><Relationship Id="rId26" Type="http://schemas.openxmlformats.org/officeDocument/2006/relationships/hyperlink" Target="http://www.eumed.net/rev/caribe/2017/10/cultivares-frijol-comun.html" TargetMode="External"/><Relationship Id="rId3" Type="http://schemas.openxmlformats.org/officeDocument/2006/relationships/styles" Target="styles.xml"/><Relationship Id="rId21" Type="http://schemas.openxmlformats.org/officeDocument/2006/relationships/hyperlink" Target="https://10.1016/j.fcr.2010.06.003" TargetMode="External"/><Relationship Id="rId7" Type="http://schemas.openxmlformats.org/officeDocument/2006/relationships/endnotes" Target="endnotes.xml"/><Relationship Id="rId12" Type="http://schemas.openxmlformats.org/officeDocument/2006/relationships/hyperlink" Target="https://orcid.org/0000-0001-8585-5507" TargetMode="External"/><Relationship Id="rId17" Type="http://schemas.openxmlformats.org/officeDocument/2006/relationships/image" Target="media/image2.png"/><Relationship Id="rId25" Type="http://schemas.openxmlformats.org/officeDocument/2006/relationships/hyperlink" Target="http://repositorio.uaaan.mx:8080/xmlui/handle/123456789/4306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oaji.net/articles/2016/2674-1453142631.pdf" TargetMode="External"/><Relationship Id="rId29" Type="http://schemas.openxmlformats.org/officeDocument/2006/relationships/hyperlink" Target="http://s3.amazonaws.com/zanran_storage/www.eurojournal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onzalezg@udg.co.cu" TargetMode="External"/><Relationship Id="rId24" Type="http://schemas.openxmlformats.org/officeDocument/2006/relationships/hyperlink" Target="http://cagricola.uclv.edu.cu/descargas/pdf/V42Numero_1/cag10115.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3-4650-4645" TargetMode="External"/><Relationship Id="rId23" Type="http://schemas.openxmlformats.org/officeDocument/2006/relationships/hyperlink" Target="https://doi.org/10.5424/sjar/2017151-9288" TargetMode="External"/><Relationship Id="rId28" Type="http://schemas.openxmlformats.org/officeDocument/2006/relationships/hyperlink" Target="http://scielo.sld.cu/scielo.php?script=sci_abstract&amp;pid=S0258-59362013000300011&amp;lng=es&amp;nrm=iso&amp;tlng=es" TargetMode="External"/><Relationship Id="rId10" Type="http://schemas.openxmlformats.org/officeDocument/2006/relationships/hyperlink" Target="mailto:adoche.vidal@uo.edu.cu" TargetMode="External"/><Relationship Id="rId19" Type="http://schemas.openxmlformats.org/officeDocument/2006/relationships/hyperlink" Target="http://www.sciencedirect.com/science/article/pii/S016819230000242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1-0116-5179" TargetMode="External"/><Relationship Id="rId14" Type="http://schemas.openxmlformats.org/officeDocument/2006/relationships/hyperlink" Target="mailto:jesusalarconmendez98@gmail.com" TargetMode="External"/><Relationship Id="rId22" Type="http://schemas.openxmlformats.org/officeDocument/2006/relationships/hyperlink" Target="http://www.fao.org/3/aa1374s/a1374s03.pdf" TargetMode="External"/><Relationship Id="rId27" Type="http://schemas.openxmlformats.org/officeDocument/2006/relationships/hyperlink" Target="http://www.ehu.us/reviberpol/pdf/AGO11/ramos.pdf" TargetMode="External"/><Relationship Id="rId30" Type="http://schemas.openxmlformats.org/officeDocument/2006/relationships/header" Target="header1.xml"/><Relationship Id="rId8" Type="http://schemas.openxmlformats.org/officeDocument/2006/relationships/hyperlink" Target="mailto:mario.alarcon@uo.edu.c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F0F1-DCF3-4EF2-863B-811F83B8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13</Pages>
  <Words>4247</Words>
  <Characters>23360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Manuel J. Linares Alvaro</cp:lastModifiedBy>
  <cp:revision>95</cp:revision>
  <cp:lastPrinted>2026-04-20T18:05:00Z</cp:lastPrinted>
  <dcterms:created xsi:type="dcterms:W3CDTF">2025-11-10T19:26:00Z</dcterms:created>
  <dcterms:modified xsi:type="dcterms:W3CDTF">2026-04-21T11:43:00Z</dcterms:modified>
</cp:coreProperties>
</file>