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AC7D" w14:textId="77777777" w:rsidR="00776A53" w:rsidRPr="00454E8E" w:rsidRDefault="00776A53" w:rsidP="00454E8E">
      <w:pPr>
        <w:spacing w:after="120" w:line="360" w:lineRule="auto"/>
        <w:jc w:val="both"/>
        <w:rPr>
          <w:b/>
          <w:bCs/>
          <w:kern w:val="3"/>
          <w:sz w:val="28"/>
          <w:szCs w:val="28"/>
        </w:rPr>
      </w:pPr>
      <w:r w:rsidRPr="00454E8E">
        <w:rPr>
          <w:b/>
          <w:bCs/>
          <w:sz w:val="28"/>
          <w:szCs w:val="28"/>
        </w:rPr>
        <w:t xml:space="preserve">Efecto de la aplicación de dos </w:t>
      </w:r>
      <w:proofErr w:type="spellStart"/>
      <w:r w:rsidRPr="00454E8E">
        <w:rPr>
          <w:b/>
          <w:bCs/>
          <w:sz w:val="28"/>
          <w:szCs w:val="28"/>
        </w:rPr>
        <w:t>bioinsumos</w:t>
      </w:r>
      <w:proofErr w:type="spellEnd"/>
      <w:r w:rsidRPr="00454E8E">
        <w:rPr>
          <w:b/>
          <w:bCs/>
          <w:sz w:val="28"/>
          <w:szCs w:val="28"/>
        </w:rPr>
        <w:t xml:space="preserve"> sobre</w:t>
      </w:r>
      <w:r w:rsidRPr="00454E8E">
        <w:rPr>
          <w:b/>
          <w:bCs/>
          <w:kern w:val="3"/>
          <w:sz w:val="28"/>
          <w:szCs w:val="28"/>
        </w:rPr>
        <w:t xml:space="preserve"> el cultivo de</w:t>
      </w:r>
      <w:r w:rsidRPr="00454E8E">
        <w:rPr>
          <w:b/>
          <w:bCs/>
          <w:sz w:val="28"/>
          <w:szCs w:val="28"/>
        </w:rPr>
        <w:t xml:space="preserve"> soya (</w:t>
      </w:r>
      <w:proofErr w:type="spellStart"/>
      <w:r w:rsidRPr="00454E8E">
        <w:rPr>
          <w:b/>
          <w:bCs/>
          <w:i/>
          <w:iCs/>
          <w:sz w:val="28"/>
          <w:szCs w:val="28"/>
        </w:rPr>
        <w:t>Glycine</w:t>
      </w:r>
      <w:proofErr w:type="spellEnd"/>
      <w:r w:rsidRPr="00454E8E">
        <w:rPr>
          <w:b/>
          <w:bCs/>
          <w:i/>
          <w:iCs/>
          <w:sz w:val="28"/>
          <w:szCs w:val="28"/>
        </w:rPr>
        <w:t xml:space="preserve"> </w:t>
      </w:r>
      <w:proofErr w:type="spellStart"/>
      <w:r w:rsidRPr="00454E8E">
        <w:rPr>
          <w:b/>
          <w:bCs/>
          <w:i/>
          <w:iCs/>
          <w:sz w:val="28"/>
          <w:szCs w:val="28"/>
        </w:rPr>
        <w:t>max</w:t>
      </w:r>
      <w:proofErr w:type="spellEnd"/>
      <w:r w:rsidRPr="00454E8E">
        <w:rPr>
          <w:b/>
          <w:bCs/>
          <w:i/>
          <w:iCs/>
          <w:sz w:val="28"/>
          <w:szCs w:val="28"/>
        </w:rPr>
        <w:t xml:space="preserve"> </w:t>
      </w:r>
      <w:r w:rsidRPr="00454E8E">
        <w:rPr>
          <w:b/>
          <w:bCs/>
          <w:sz w:val="28"/>
          <w:szCs w:val="28"/>
        </w:rPr>
        <w:t xml:space="preserve">Merril), variedad </w:t>
      </w:r>
      <w:r w:rsidR="007F22F1" w:rsidRPr="00454E8E">
        <w:rPr>
          <w:b/>
          <w:bCs/>
          <w:sz w:val="28"/>
          <w:szCs w:val="28"/>
        </w:rPr>
        <w:t>“</w:t>
      </w:r>
      <w:r w:rsidRPr="00454E8E">
        <w:rPr>
          <w:b/>
          <w:bCs/>
          <w:sz w:val="28"/>
          <w:szCs w:val="28"/>
        </w:rPr>
        <w:t>INCASOY-2</w:t>
      </w:r>
      <w:r w:rsidR="007F22F1" w:rsidRPr="00454E8E">
        <w:rPr>
          <w:b/>
          <w:bCs/>
          <w:sz w:val="28"/>
          <w:szCs w:val="28"/>
        </w:rPr>
        <w:t>”.</w:t>
      </w:r>
    </w:p>
    <w:p w14:paraId="74EC1A76" w14:textId="77777777" w:rsidR="00776A53" w:rsidRPr="002D5927" w:rsidRDefault="0019725C" w:rsidP="00454E8E">
      <w:pPr>
        <w:tabs>
          <w:tab w:val="left" w:pos="142"/>
        </w:tabs>
        <w:spacing w:after="120" w:line="360" w:lineRule="auto"/>
        <w:jc w:val="both"/>
        <w:rPr>
          <w:b/>
          <w:bCs/>
          <w:kern w:val="3"/>
          <w:lang w:val="en-US"/>
        </w:rPr>
      </w:pPr>
      <w:r w:rsidRPr="002D5927">
        <w:rPr>
          <w:rStyle w:val="rynqvb"/>
          <w:lang w:val="en"/>
        </w:rPr>
        <w:t>Effect of the application of two bio-inputs on the soybean crop (</w:t>
      </w:r>
      <w:r w:rsidRPr="002D5927">
        <w:rPr>
          <w:rStyle w:val="rynqvb"/>
          <w:i/>
          <w:lang w:val="en"/>
        </w:rPr>
        <w:t xml:space="preserve">Glycine max </w:t>
      </w:r>
      <w:proofErr w:type="spellStart"/>
      <w:r w:rsidRPr="002D5927">
        <w:rPr>
          <w:rStyle w:val="rynqvb"/>
          <w:i/>
          <w:lang w:val="en"/>
        </w:rPr>
        <w:t>Merril</w:t>
      </w:r>
      <w:proofErr w:type="spellEnd"/>
      <w:r w:rsidRPr="002D5927">
        <w:rPr>
          <w:rStyle w:val="rynqvb"/>
          <w:lang w:val="en"/>
        </w:rPr>
        <w:t>), variety “INCASOY-2”</w:t>
      </w:r>
    </w:p>
    <w:p w14:paraId="20C0262B" w14:textId="77777777" w:rsidR="00B42BEF" w:rsidRPr="002D5927" w:rsidRDefault="00B42BEF" w:rsidP="00454E8E">
      <w:pPr>
        <w:spacing w:after="120" w:line="360" w:lineRule="auto"/>
        <w:jc w:val="both"/>
        <w:rPr>
          <w:rFonts w:eastAsia="Calibri"/>
          <w:vertAlign w:val="superscript"/>
        </w:rPr>
      </w:pPr>
      <w:r w:rsidRPr="002D5927">
        <w:rPr>
          <w:rFonts w:eastAsia="Calibri"/>
        </w:rPr>
        <w:t>Mario de Jesús Alarcón-</w:t>
      </w:r>
      <w:proofErr w:type="spellStart"/>
      <w:proofErr w:type="gramStart"/>
      <w:r w:rsidRPr="002D5927">
        <w:rPr>
          <w:rFonts w:eastAsia="Calibri"/>
        </w:rPr>
        <w:t>Mok</w:t>
      </w:r>
      <w:proofErr w:type="spellEnd"/>
      <w:r w:rsidRPr="002D5927">
        <w:rPr>
          <w:rFonts w:eastAsia="Calibri"/>
          <w:vertAlign w:val="superscript"/>
        </w:rPr>
        <w:t>(</w:t>
      </w:r>
      <w:proofErr w:type="gramEnd"/>
      <w:r w:rsidRPr="002D5927">
        <w:rPr>
          <w:rFonts w:eastAsia="Calibri"/>
          <w:vertAlign w:val="superscript"/>
        </w:rPr>
        <w:t xml:space="preserve">1) </w:t>
      </w:r>
    </w:p>
    <w:p w14:paraId="0684F87F" w14:textId="1DAE26EC" w:rsidR="00B42BEF" w:rsidRPr="002D5927" w:rsidRDefault="00B42BEF" w:rsidP="00454E8E">
      <w:pPr>
        <w:spacing w:after="120" w:line="360" w:lineRule="auto"/>
        <w:jc w:val="both"/>
        <w:rPr>
          <w:rFonts w:eastAsia="Calibri"/>
          <w:vertAlign w:val="superscript"/>
        </w:rPr>
      </w:pPr>
      <w:proofErr w:type="spellStart"/>
      <w:r w:rsidRPr="002D5927">
        <w:rPr>
          <w:rFonts w:eastAsia="Calibri"/>
        </w:rPr>
        <w:t>Denice</w:t>
      </w:r>
      <w:proofErr w:type="spellEnd"/>
      <w:r w:rsidRPr="002D5927">
        <w:rPr>
          <w:rFonts w:eastAsia="Calibri"/>
        </w:rPr>
        <w:t xml:space="preserve"> </w:t>
      </w:r>
      <w:proofErr w:type="spellStart"/>
      <w:r w:rsidRPr="002D5927">
        <w:rPr>
          <w:rFonts w:eastAsia="Calibri"/>
        </w:rPr>
        <w:t>Ardoche</w:t>
      </w:r>
      <w:proofErr w:type="spellEnd"/>
      <w:r w:rsidRPr="002D5927">
        <w:rPr>
          <w:rFonts w:eastAsia="Calibri"/>
        </w:rPr>
        <w:t xml:space="preserve"> </w:t>
      </w:r>
      <w:proofErr w:type="gramStart"/>
      <w:r w:rsidRPr="002D5927">
        <w:rPr>
          <w:rFonts w:eastAsia="Calibri"/>
        </w:rPr>
        <w:t>Vilar</w:t>
      </w:r>
      <w:r w:rsidRPr="002D5927">
        <w:rPr>
          <w:rFonts w:eastAsia="Calibri"/>
          <w:vertAlign w:val="superscript"/>
        </w:rPr>
        <w:t>(</w:t>
      </w:r>
      <w:proofErr w:type="gramEnd"/>
      <w:r w:rsidRPr="002D5927">
        <w:rPr>
          <w:rFonts w:eastAsia="Calibri"/>
          <w:vertAlign w:val="superscript"/>
        </w:rPr>
        <w:t>2)</w:t>
      </w:r>
    </w:p>
    <w:p w14:paraId="363DCE71" w14:textId="00D3B514" w:rsidR="00B42BEF" w:rsidRPr="002D5927" w:rsidRDefault="00B42BEF" w:rsidP="00454E8E">
      <w:pPr>
        <w:spacing w:after="120" w:line="360" w:lineRule="auto"/>
        <w:jc w:val="both"/>
        <w:rPr>
          <w:rFonts w:eastAsia="Calibri"/>
        </w:rPr>
      </w:pPr>
      <w:r w:rsidRPr="002D5927">
        <w:rPr>
          <w:rFonts w:eastAsia="Calibri"/>
        </w:rPr>
        <w:t>Roxana García Álvarez</w:t>
      </w:r>
      <w:r w:rsidRPr="002D5927">
        <w:rPr>
          <w:rFonts w:eastAsia="Calibri"/>
          <w:vertAlign w:val="superscript"/>
        </w:rPr>
        <w:t xml:space="preserve"> (3) </w:t>
      </w:r>
    </w:p>
    <w:p w14:paraId="7C25A8A1" w14:textId="77777777" w:rsidR="00B42BEF" w:rsidRPr="002D5927" w:rsidRDefault="00B42BEF" w:rsidP="00454E8E">
      <w:pPr>
        <w:spacing w:after="120" w:line="360" w:lineRule="auto"/>
        <w:jc w:val="both"/>
        <w:rPr>
          <w:rFonts w:eastAsia="Calibri"/>
          <w:vertAlign w:val="superscript"/>
        </w:rPr>
      </w:pPr>
      <w:r w:rsidRPr="002D5927">
        <w:rPr>
          <w:rFonts w:eastAsia="Calibri"/>
        </w:rPr>
        <w:t xml:space="preserve">Luis Gustavo González </w:t>
      </w:r>
      <w:proofErr w:type="gramStart"/>
      <w:r w:rsidRPr="002D5927">
        <w:rPr>
          <w:rFonts w:eastAsia="Calibri"/>
        </w:rPr>
        <w:t>Gómez</w:t>
      </w:r>
      <w:r w:rsidRPr="002D5927">
        <w:rPr>
          <w:rFonts w:eastAsia="Calibri"/>
          <w:vertAlign w:val="superscript"/>
        </w:rPr>
        <w:t>(</w:t>
      </w:r>
      <w:proofErr w:type="gramEnd"/>
      <w:r w:rsidRPr="002D5927">
        <w:rPr>
          <w:rFonts w:eastAsia="Calibri"/>
          <w:vertAlign w:val="superscript"/>
        </w:rPr>
        <w:t>4)</w:t>
      </w:r>
    </w:p>
    <w:p w14:paraId="4BC311B0" w14:textId="3D17DF6F" w:rsidR="00632A9F" w:rsidRDefault="00632A9F" w:rsidP="00454E8E">
      <w:pPr>
        <w:widowControl w:val="0"/>
        <w:autoSpaceDE w:val="0"/>
        <w:autoSpaceDN w:val="0"/>
        <w:adjustRightInd w:val="0"/>
        <w:spacing w:after="120" w:line="360" w:lineRule="auto"/>
        <w:jc w:val="both"/>
        <w:rPr>
          <w:rFonts w:eastAsia="Calibri"/>
        </w:rPr>
      </w:pPr>
      <w:proofErr w:type="spellStart"/>
      <w:r w:rsidRPr="00632A9F">
        <w:rPr>
          <w:rFonts w:eastAsia="Calibri"/>
        </w:rPr>
        <w:t>Aleixeder</w:t>
      </w:r>
      <w:proofErr w:type="spellEnd"/>
      <w:r w:rsidRPr="00632A9F">
        <w:rPr>
          <w:rFonts w:eastAsia="Calibri"/>
        </w:rPr>
        <w:t xml:space="preserve"> Torres </w:t>
      </w:r>
      <w:proofErr w:type="gramStart"/>
      <w:r w:rsidRPr="00632A9F">
        <w:rPr>
          <w:rFonts w:eastAsia="Calibri"/>
        </w:rPr>
        <w:t>Medina</w:t>
      </w:r>
      <w:r w:rsidRPr="00454E8E">
        <w:rPr>
          <w:rFonts w:eastAsia="Calibri"/>
          <w:vertAlign w:val="superscript"/>
        </w:rPr>
        <w:t>(</w:t>
      </w:r>
      <w:proofErr w:type="gramEnd"/>
      <w:r w:rsidRPr="00454E8E">
        <w:rPr>
          <w:rFonts w:eastAsia="Calibri"/>
          <w:vertAlign w:val="superscript"/>
        </w:rPr>
        <w:t>5)</w:t>
      </w:r>
    </w:p>
    <w:p w14:paraId="158A67AE" w14:textId="54D67E61" w:rsidR="00B42BEF" w:rsidRPr="002D5927" w:rsidRDefault="00B42BEF" w:rsidP="00454E8E">
      <w:pPr>
        <w:widowControl w:val="0"/>
        <w:autoSpaceDE w:val="0"/>
        <w:autoSpaceDN w:val="0"/>
        <w:adjustRightInd w:val="0"/>
        <w:spacing w:after="120" w:line="360" w:lineRule="auto"/>
        <w:jc w:val="both"/>
      </w:pPr>
      <w:r w:rsidRPr="00632A9F">
        <w:rPr>
          <w:rFonts w:eastAsia="Calibri"/>
        </w:rPr>
        <w:t>J</w:t>
      </w:r>
      <w:r w:rsidRPr="002D5927">
        <w:rPr>
          <w:rFonts w:eastAsia="Calibri"/>
        </w:rPr>
        <w:t>esús Alarcón Méndez</w:t>
      </w:r>
      <w:r w:rsidRPr="002D5927">
        <w:rPr>
          <w:rFonts w:eastAsia="Calibri"/>
          <w:vertAlign w:val="superscript"/>
        </w:rPr>
        <w:t xml:space="preserve"> (6)</w:t>
      </w:r>
      <w:r w:rsidRPr="002D5927">
        <w:rPr>
          <w:rFonts w:eastAsia="Calibri"/>
        </w:rPr>
        <w:t xml:space="preserve"> </w:t>
      </w:r>
    </w:p>
    <w:p w14:paraId="79B83069" w14:textId="43BB3F55" w:rsidR="00B42BEF" w:rsidRDefault="00B42BEF" w:rsidP="00454E8E">
      <w:pPr>
        <w:spacing w:after="120" w:line="360" w:lineRule="auto"/>
        <w:jc w:val="both"/>
        <w:rPr>
          <w:rFonts w:eastAsia="Calibri"/>
          <w:bCs/>
        </w:rPr>
      </w:pPr>
      <w:r w:rsidRPr="002D5927">
        <w:t>(1)</w:t>
      </w:r>
      <w:r w:rsidR="0021230B">
        <w:t xml:space="preserve"> </w:t>
      </w:r>
      <w:r w:rsidRPr="002D5927">
        <w:rPr>
          <w:rFonts w:eastAsia="Calibri"/>
          <w:bCs/>
        </w:rPr>
        <w:t>Universidad de Oriente.</w:t>
      </w:r>
      <w:r w:rsidR="00454E8E">
        <w:rPr>
          <w:rFonts w:eastAsia="Calibri"/>
          <w:bCs/>
        </w:rPr>
        <w:t xml:space="preserve"> </w:t>
      </w:r>
      <w:r w:rsidRPr="002D5927">
        <w:rPr>
          <w:rFonts w:eastAsia="Calibri"/>
          <w:bCs/>
        </w:rPr>
        <w:t xml:space="preserve">mario.alarcon@uo.edu.cu. ORCID: </w:t>
      </w:r>
      <w:hyperlink r:id="rId8" w:history="1">
        <w:r w:rsidR="00454E8E" w:rsidRPr="003F20B6">
          <w:rPr>
            <w:rStyle w:val="Hipervnculo"/>
            <w:rFonts w:eastAsia="Calibri"/>
            <w:bCs/>
          </w:rPr>
          <w:t>https://orcid.org/0009-0001-0116-5179</w:t>
        </w:r>
      </w:hyperlink>
    </w:p>
    <w:p w14:paraId="2A2620CF" w14:textId="2241691B" w:rsidR="004F29EF" w:rsidRDefault="00B42BEF" w:rsidP="00454E8E">
      <w:pPr>
        <w:spacing w:after="120" w:line="360" w:lineRule="auto"/>
        <w:jc w:val="both"/>
        <w:rPr>
          <w:rFonts w:eastAsia="Calibri"/>
          <w:bCs/>
        </w:rPr>
      </w:pPr>
      <w:r w:rsidRPr="002D5927">
        <w:t>(2)</w:t>
      </w:r>
      <w:r w:rsidR="00454E8E">
        <w:t xml:space="preserve"> </w:t>
      </w:r>
      <w:r w:rsidRPr="002D5927">
        <w:rPr>
          <w:rFonts w:eastAsia="Calibri"/>
          <w:bCs/>
        </w:rPr>
        <w:t xml:space="preserve">Universidad de Oriente. </w:t>
      </w:r>
      <w:hyperlink r:id="rId9" w:history="1">
        <w:r w:rsidR="00454E8E" w:rsidRPr="003F20B6">
          <w:rPr>
            <w:rStyle w:val="Hipervnculo"/>
            <w:rFonts w:eastAsia="Calibri"/>
            <w:bCs/>
          </w:rPr>
          <w:t>adoche.vidar@uo.edu.cu</w:t>
        </w:r>
      </w:hyperlink>
      <w:r w:rsidR="004F29EF" w:rsidRPr="002D5927">
        <w:rPr>
          <w:rFonts w:eastAsia="Calibri"/>
          <w:bCs/>
        </w:rPr>
        <w:t>.</w:t>
      </w:r>
    </w:p>
    <w:p w14:paraId="13C577FF" w14:textId="01797AFF" w:rsidR="00B42BEF" w:rsidRDefault="00B42BEF" w:rsidP="00454E8E">
      <w:pPr>
        <w:spacing w:after="120" w:line="360" w:lineRule="auto"/>
        <w:jc w:val="both"/>
        <w:rPr>
          <w:rFonts w:eastAsia="Calibri"/>
          <w:bCs/>
        </w:rPr>
      </w:pPr>
      <w:r w:rsidRPr="002D5927">
        <w:t>(3)</w:t>
      </w:r>
      <w:r w:rsidRPr="002D5927">
        <w:rPr>
          <w:rFonts w:eastAsia="Calibri"/>
          <w:bCs/>
        </w:rPr>
        <w:t xml:space="preserve"> Universidad de Oriente. </w:t>
      </w:r>
      <w:hyperlink r:id="rId10" w:history="1">
        <w:r w:rsidR="00454E8E" w:rsidRPr="003F20B6">
          <w:rPr>
            <w:rStyle w:val="Hipervnculo"/>
            <w:rFonts w:eastAsia="Calibri"/>
            <w:bCs/>
          </w:rPr>
          <w:t>garcia.alvarez@uo.edu.cu</w:t>
        </w:r>
      </w:hyperlink>
      <w:r w:rsidR="00454E8E">
        <w:rPr>
          <w:rFonts w:eastAsia="Calibri"/>
          <w:bCs/>
        </w:rPr>
        <w:t>.</w:t>
      </w:r>
    </w:p>
    <w:p w14:paraId="4DD285D5" w14:textId="3B34CB07" w:rsidR="00454E8E" w:rsidRPr="002D5927" w:rsidRDefault="00B42BEF" w:rsidP="00454E8E">
      <w:pPr>
        <w:spacing w:after="120" w:line="360" w:lineRule="auto"/>
        <w:jc w:val="both"/>
        <w:rPr>
          <w:rFonts w:eastAsia="Calibri"/>
        </w:rPr>
      </w:pPr>
      <w:r w:rsidRPr="002D5927">
        <w:t>(4)</w:t>
      </w:r>
      <w:r w:rsidRPr="002D5927">
        <w:rPr>
          <w:rFonts w:eastAsia="Calibri"/>
        </w:rPr>
        <w:t xml:space="preserve"> Universidad de Granma.</w:t>
      </w:r>
      <w:r w:rsidR="00454E8E">
        <w:rPr>
          <w:rFonts w:eastAsia="Calibri"/>
        </w:rPr>
        <w:t xml:space="preserve"> </w:t>
      </w:r>
      <w:hyperlink r:id="rId11" w:history="1">
        <w:r w:rsidR="00454E8E" w:rsidRPr="003F20B6">
          <w:rPr>
            <w:rStyle w:val="Hipervnculo"/>
          </w:rPr>
          <w:t>ggonzalezg@udg.co.cu</w:t>
        </w:r>
      </w:hyperlink>
      <w:r w:rsidR="00454E8E">
        <w:t xml:space="preserve">. </w:t>
      </w:r>
      <w:r w:rsidRPr="002D5927">
        <w:rPr>
          <w:rFonts w:eastAsia="Calibri"/>
        </w:rPr>
        <w:t xml:space="preserve">ORCID: </w:t>
      </w:r>
      <w:hyperlink r:id="rId12" w:history="1">
        <w:r w:rsidR="00454E8E" w:rsidRPr="003F20B6">
          <w:rPr>
            <w:rStyle w:val="Hipervnculo"/>
            <w:rFonts w:eastAsia="Calibri"/>
          </w:rPr>
          <w:t>https://orcid.org/0000-0001-8585-5507</w:t>
        </w:r>
      </w:hyperlink>
      <w:r w:rsidR="00454E8E">
        <w:rPr>
          <w:rFonts w:eastAsia="Calibri"/>
        </w:rPr>
        <w:t>.</w:t>
      </w:r>
    </w:p>
    <w:p w14:paraId="274ACC01" w14:textId="1E323020" w:rsidR="00403B72" w:rsidRDefault="00403B72" w:rsidP="00454E8E">
      <w:pPr>
        <w:widowControl w:val="0"/>
        <w:autoSpaceDE w:val="0"/>
        <w:autoSpaceDN w:val="0"/>
        <w:adjustRightInd w:val="0"/>
        <w:spacing w:after="120" w:line="360" w:lineRule="auto"/>
        <w:jc w:val="both"/>
        <w:rPr>
          <w:rFonts w:eastAsia="Calibri"/>
        </w:rPr>
      </w:pPr>
      <w:r w:rsidRPr="00403B72">
        <w:rPr>
          <w:rFonts w:eastAsia="Calibri"/>
        </w:rPr>
        <w:t xml:space="preserve">(5) Universidad de Granma. </w:t>
      </w:r>
      <w:hyperlink r:id="rId13" w:history="1">
        <w:r w:rsidR="00454E8E" w:rsidRPr="003F20B6">
          <w:rPr>
            <w:rStyle w:val="Hipervnculo"/>
            <w:rFonts w:eastAsia="Calibri"/>
          </w:rPr>
          <w:t>atorresme@estudiantes.udg.co.cu</w:t>
        </w:r>
      </w:hyperlink>
      <w:r w:rsidRPr="00403B72">
        <w:rPr>
          <w:rFonts w:eastAsia="Calibri"/>
        </w:rPr>
        <w:t xml:space="preserve"> </w:t>
      </w:r>
    </w:p>
    <w:p w14:paraId="7B8113BB" w14:textId="3BF21AE7" w:rsidR="00B42BEF" w:rsidRDefault="00B42BEF" w:rsidP="00454E8E">
      <w:pPr>
        <w:widowControl w:val="0"/>
        <w:autoSpaceDE w:val="0"/>
        <w:autoSpaceDN w:val="0"/>
        <w:adjustRightInd w:val="0"/>
        <w:spacing w:after="120" w:line="360" w:lineRule="auto"/>
        <w:jc w:val="both"/>
      </w:pPr>
      <w:r w:rsidRPr="002D5927">
        <w:rPr>
          <w:rFonts w:eastAsia="Calibri"/>
        </w:rPr>
        <w:t xml:space="preserve">(6) </w:t>
      </w:r>
      <w:proofErr w:type="spellStart"/>
      <w:r w:rsidRPr="002D5927">
        <w:rPr>
          <w:rFonts w:eastAsia="Calibri"/>
        </w:rPr>
        <w:t>Biocuba</w:t>
      </w:r>
      <w:proofErr w:type="spellEnd"/>
      <w:r w:rsidRPr="002D5927">
        <w:rPr>
          <w:rFonts w:eastAsia="Calibri"/>
        </w:rPr>
        <w:t>.</w:t>
      </w:r>
      <w:r w:rsidR="00454E8E">
        <w:rPr>
          <w:rFonts w:eastAsia="Calibri"/>
        </w:rPr>
        <w:t xml:space="preserve"> </w:t>
      </w:r>
      <w:r w:rsidRPr="002D5927">
        <w:rPr>
          <w:rFonts w:eastAsia="Calibri"/>
        </w:rPr>
        <w:t>Café S.A.</w:t>
      </w:r>
      <w:r w:rsidR="00454E8E">
        <w:rPr>
          <w:rFonts w:eastAsia="Calibri"/>
        </w:rPr>
        <w:t xml:space="preserve"> </w:t>
      </w:r>
      <w:hyperlink r:id="rId14" w:history="1">
        <w:r w:rsidR="00454E8E" w:rsidRPr="003F20B6">
          <w:rPr>
            <w:rStyle w:val="Hipervnculo"/>
            <w:rFonts w:eastAsia="Calibri"/>
          </w:rPr>
          <w:t>jesusalarconmendez.98@gmail.com</w:t>
        </w:r>
      </w:hyperlink>
      <w:r w:rsidRPr="002D5927">
        <w:rPr>
          <w:rFonts w:eastAsia="Calibri"/>
        </w:rPr>
        <w:t>.</w:t>
      </w:r>
      <w:r w:rsidRPr="002D5927">
        <w:t xml:space="preserve"> </w:t>
      </w:r>
      <w:hyperlink r:id="rId15" w:history="1">
        <w:r w:rsidR="00454E8E" w:rsidRPr="003F20B6">
          <w:rPr>
            <w:rStyle w:val="Hipervnculo"/>
          </w:rPr>
          <w:t>https://orcid.org/0000-0003-4650-4645</w:t>
        </w:r>
      </w:hyperlink>
    </w:p>
    <w:p w14:paraId="1181A8B0" w14:textId="5172C2E8" w:rsidR="0021230B" w:rsidRPr="005748E8" w:rsidRDefault="00B42B84" w:rsidP="0021230B">
      <w:pPr>
        <w:tabs>
          <w:tab w:val="left" w:pos="142"/>
        </w:tabs>
        <w:spacing w:after="120" w:line="360" w:lineRule="auto"/>
        <w:jc w:val="right"/>
        <w:rPr>
          <w:kern w:val="3"/>
        </w:rPr>
      </w:pPr>
      <w:r w:rsidRPr="005748E8">
        <w:rPr>
          <w:kern w:val="3"/>
        </w:rPr>
        <w:t xml:space="preserve"> Email de c</w:t>
      </w:r>
      <w:r w:rsidR="0021230B" w:rsidRPr="005748E8">
        <w:rPr>
          <w:kern w:val="3"/>
        </w:rPr>
        <w:t xml:space="preserve">ontacto: </w:t>
      </w:r>
      <w:hyperlink r:id="rId16" w:history="1">
        <w:r w:rsidR="0021230B" w:rsidRPr="005748E8">
          <w:rPr>
            <w:rStyle w:val="Hipervnculo"/>
          </w:rPr>
          <w:t>ggonzalezg@udg.co.cu</w:t>
        </w:r>
      </w:hyperlink>
    </w:p>
    <w:p w14:paraId="6806FE7C" w14:textId="6D131E63" w:rsidR="0021230B" w:rsidRPr="005748E8" w:rsidRDefault="0021230B" w:rsidP="0021230B">
      <w:pPr>
        <w:tabs>
          <w:tab w:val="left" w:pos="142"/>
        </w:tabs>
        <w:spacing w:after="120" w:line="360" w:lineRule="auto"/>
        <w:jc w:val="right"/>
        <w:rPr>
          <w:kern w:val="3"/>
        </w:rPr>
      </w:pPr>
      <w:r w:rsidRPr="005748E8">
        <w:rPr>
          <w:kern w:val="3"/>
        </w:rPr>
        <w:t>Enviado: 8/octubre/2025 \ Aprobado: 23/abril/2026</w:t>
      </w:r>
    </w:p>
    <w:p w14:paraId="21DEF72E" w14:textId="2C703752" w:rsidR="00EF0E16" w:rsidRPr="002D5927" w:rsidRDefault="00743450" w:rsidP="00454E8E">
      <w:pPr>
        <w:tabs>
          <w:tab w:val="left" w:pos="142"/>
        </w:tabs>
        <w:spacing w:after="120" w:line="360" w:lineRule="auto"/>
        <w:jc w:val="both"/>
        <w:rPr>
          <w:b/>
          <w:bCs/>
          <w:kern w:val="3"/>
        </w:rPr>
      </w:pPr>
      <w:r w:rsidRPr="002D5927">
        <w:rPr>
          <w:b/>
          <w:bCs/>
          <w:kern w:val="3"/>
        </w:rPr>
        <w:t>Resumen</w:t>
      </w:r>
    </w:p>
    <w:p w14:paraId="01BD5823" w14:textId="4F433294" w:rsidR="00EF0E16" w:rsidRPr="002D5927" w:rsidRDefault="00EF0E16" w:rsidP="00454E8E">
      <w:pPr>
        <w:tabs>
          <w:tab w:val="left" w:pos="142"/>
        </w:tabs>
        <w:spacing w:after="120" w:line="360" w:lineRule="auto"/>
        <w:jc w:val="both"/>
        <w:rPr>
          <w:bCs/>
          <w:kern w:val="3"/>
        </w:rPr>
      </w:pPr>
      <w:r w:rsidRPr="002D5927">
        <w:rPr>
          <w:bCs/>
          <w:kern w:val="3"/>
        </w:rPr>
        <w:t xml:space="preserve">El trabajo se realizó en </w:t>
      </w:r>
      <w:r w:rsidR="00C11CE3" w:rsidRPr="002D5927">
        <w:rPr>
          <w:bCs/>
          <w:kern w:val="3"/>
        </w:rPr>
        <w:t xml:space="preserve">un área de </w:t>
      </w:r>
      <w:proofErr w:type="spellStart"/>
      <w:r w:rsidR="00C11CE3" w:rsidRPr="002D5927">
        <w:rPr>
          <w:bCs/>
          <w:kern w:val="3"/>
        </w:rPr>
        <w:t>dicada</w:t>
      </w:r>
      <w:proofErr w:type="spellEnd"/>
      <w:r w:rsidR="00C11CE3" w:rsidRPr="002D5927">
        <w:rPr>
          <w:bCs/>
          <w:kern w:val="3"/>
        </w:rPr>
        <w:t xml:space="preserve"> a la agricultura </w:t>
      </w:r>
      <w:r w:rsidR="00234280" w:rsidRPr="002D5927">
        <w:rPr>
          <w:bCs/>
          <w:kern w:val="3"/>
        </w:rPr>
        <w:t xml:space="preserve">Urbana, suburbana y </w:t>
      </w:r>
      <w:r w:rsidR="00C11CE3" w:rsidRPr="002D5927">
        <w:rPr>
          <w:bCs/>
          <w:kern w:val="3"/>
        </w:rPr>
        <w:t xml:space="preserve">familiar, CP Frank </w:t>
      </w:r>
      <w:r w:rsidR="005E650A" w:rsidRPr="002D5927">
        <w:rPr>
          <w:bCs/>
          <w:kern w:val="3"/>
        </w:rPr>
        <w:t>País</w:t>
      </w:r>
      <w:r w:rsidR="00C11CE3" w:rsidRPr="002D5927">
        <w:rPr>
          <w:bCs/>
          <w:kern w:val="3"/>
        </w:rPr>
        <w:t xml:space="preserve">, Contramaestre, Santiago de Cuba.  </w:t>
      </w:r>
      <w:r w:rsidRPr="002D5927">
        <w:rPr>
          <w:bCs/>
          <w:kern w:val="3"/>
        </w:rPr>
        <w:t xml:space="preserve">Con el objetivo de evaluar el efecto </w:t>
      </w:r>
      <w:r w:rsidR="00C11CE3" w:rsidRPr="002D5927">
        <w:rPr>
          <w:bCs/>
          <w:kern w:val="3"/>
        </w:rPr>
        <w:t xml:space="preserve">de los </w:t>
      </w:r>
      <w:proofErr w:type="spellStart"/>
      <w:r w:rsidR="00C11CE3" w:rsidRPr="002D5927">
        <w:rPr>
          <w:bCs/>
          <w:kern w:val="3"/>
        </w:rPr>
        <w:t>bioinsumos</w:t>
      </w:r>
      <w:proofErr w:type="spellEnd"/>
      <w:r w:rsidR="00C11CE3" w:rsidRPr="002D5927">
        <w:rPr>
          <w:bCs/>
          <w:kern w:val="3"/>
        </w:rPr>
        <w:t xml:space="preserve"> </w:t>
      </w:r>
      <w:proofErr w:type="spellStart"/>
      <w:r w:rsidR="00D06691" w:rsidRPr="002D5927">
        <w:rPr>
          <w:bCs/>
          <w:kern w:val="3"/>
        </w:rPr>
        <w:t>QuitoMax</w:t>
      </w:r>
      <w:proofErr w:type="spellEnd"/>
      <w:r w:rsidRPr="002D5927">
        <w:rPr>
          <w:bCs/>
          <w:kern w:val="3"/>
        </w:rPr>
        <w:t xml:space="preserve">® </w:t>
      </w:r>
      <w:r w:rsidR="00C11CE3" w:rsidRPr="002D5927">
        <w:rPr>
          <w:bCs/>
          <w:kern w:val="3"/>
        </w:rPr>
        <w:t xml:space="preserve">y </w:t>
      </w:r>
      <w:proofErr w:type="spellStart"/>
      <w:r w:rsidR="005D1D06" w:rsidRPr="002D5927">
        <w:rPr>
          <w:bCs/>
          <w:kern w:val="3"/>
        </w:rPr>
        <w:t>Azofer</w:t>
      </w:r>
      <w:proofErr w:type="spellEnd"/>
      <w:r w:rsidR="005D1D06" w:rsidRPr="002D5927">
        <w:rPr>
          <w:bCs/>
          <w:kern w:val="3"/>
        </w:rPr>
        <w:t>-S®</w:t>
      </w:r>
      <w:r w:rsidR="00C11CE3" w:rsidRPr="002D5927">
        <w:rPr>
          <w:bCs/>
          <w:kern w:val="3"/>
        </w:rPr>
        <w:t xml:space="preserve"> en la variedad de soya (</w:t>
      </w:r>
      <w:r w:rsidRPr="002D5927">
        <w:rPr>
          <w:bCs/>
          <w:kern w:val="3"/>
        </w:rPr>
        <w:t>INCASOY-2), se desarrolló en el pe</w:t>
      </w:r>
      <w:r w:rsidR="004D6870" w:rsidRPr="002D5927">
        <w:rPr>
          <w:bCs/>
          <w:kern w:val="3"/>
        </w:rPr>
        <w:t>riodo comprendid</w:t>
      </w:r>
      <w:r w:rsidR="00234280" w:rsidRPr="002D5927">
        <w:rPr>
          <w:bCs/>
          <w:kern w:val="3"/>
        </w:rPr>
        <w:t>o desde diciembre del 2024 a abril</w:t>
      </w:r>
      <w:r w:rsidR="004D6870" w:rsidRPr="002D5927">
        <w:rPr>
          <w:bCs/>
          <w:kern w:val="3"/>
        </w:rPr>
        <w:t xml:space="preserve"> del 2025</w:t>
      </w:r>
      <w:r w:rsidRPr="002D5927">
        <w:rPr>
          <w:bCs/>
          <w:kern w:val="3"/>
        </w:rPr>
        <w:t>. L</w:t>
      </w:r>
      <w:r w:rsidR="00D82844" w:rsidRPr="002D5927">
        <w:rPr>
          <w:bCs/>
          <w:kern w:val="3"/>
        </w:rPr>
        <w:t>os</w:t>
      </w:r>
      <w:r w:rsidRPr="002D5927">
        <w:rPr>
          <w:bCs/>
          <w:kern w:val="3"/>
        </w:rPr>
        <w:t xml:space="preserve"> </w:t>
      </w:r>
      <w:r w:rsidR="00D82844" w:rsidRPr="002D5927">
        <w:rPr>
          <w:bCs/>
          <w:kern w:val="3"/>
        </w:rPr>
        <w:t>tratamientos evaluados fueron</w:t>
      </w:r>
      <w:r w:rsidR="00743450">
        <w:rPr>
          <w:bCs/>
          <w:kern w:val="3"/>
        </w:rPr>
        <w:t>:</w:t>
      </w:r>
      <w:r w:rsidR="00D82844" w:rsidRPr="002D5927">
        <w:rPr>
          <w:bCs/>
          <w:kern w:val="3"/>
        </w:rPr>
        <w:t xml:space="preserve"> </w:t>
      </w:r>
      <w:r w:rsidR="00D82844" w:rsidRPr="002D5927">
        <w:rPr>
          <w:bCs/>
          <w:kern w:val="3"/>
        </w:rPr>
        <w:lastRenderedPageBreak/>
        <w:t xml:space="preserve">Tratamiento control. </w:t>
      </w:r>
      <w:r w:rsidR="00743450">
        <w:rPr>
          <w:bCs/>
          <w:kern w:val="3"/>
        </w:rPr>
        <w:t xml:space="preserve">Tratamiento 2: </w:t>
      </w:r>
      <w:r w:rsidR="00D82844" w:rsidRPr="002D5927">
        <w:rPr>
          <w:bCs/>
          <w:kern w:val="3"/>
        </w:rPr>
        <w:t>I</w:t>
      </w:r>
      <w:r w:rsidRPr="002D5927">
        <w:rPr>
          <w:bCs/>
          <w:kern w:val="3"/>
        </w:rPr>
        <w:t>mbibición de las semilla</w:t>
      </w:r>
      <w:r w:rsidR="004D6870" w:rsidRPr="002D5927">
        <w:rPr>
          <w:bCs/>
          <w:kern w:val="3"/>
        </w:rPr>
        <w:t xml:space="preserve">s en una solución de 500 ml de </w:t>
      </w:r>
      <w:proofErr w:type="spellStart"/>
      <w:r w:rsidR="005D1D06" w:rsidRPr="002D5927">
        <w:rPr>
          <w:bCs/>
          <w:kern w:val="3"/>
        </w:rPr>
        <w:t>Azofer</w:t>
      </w:r>
      <w:proofErr w:type="spellEnd"/>
      <w:r w:rsidR="005D1D06" w:rsidRPr="002D5927">
        <w:rPr>
          <w:bCs/>
          <w:kern w:val="3"/>
        </w:rPr>
        <w:t>-S®</w:t>
      </w:r>
      <w:r w:rsidR="004D6870" w:rsidRPr="002D5927">
        <w:rPr>
          <w:bCs/>
          <w:kern w:val="3"/>
        </w:rPr>
        <w:t xml:space="preserve"> en 1L de agua, </w:t>
      </w:r>
      <w:r w:rsidR="00743450">
        <w:rPr>
          <w:bCs/>
          <w:kern w:val="3"/>
        </w:rPr>
        <w:t xml:space="preserve">tratamiento 3: </w:t>
      </w:r>
      <w:r w:rsidR="00D24850" w:rsidRPr="002D5927">
        <w:rPr>
          <w:bCs/>
          <w:kern w:val="3"/>
        </w:rPr>
        <w:t xml:space="preserve">solución de 50 ml de </w:t>
      </w:r>
      <w:proofErr w:type="spellStart"/>
      <w:r w:rsidR="00D06691" w:rsidRPr="002D5927">
        <w:rPr>
          <w:bCs/>
          <w:kern w:val="3"/>
        </w:rPr>
        <w:t>QuitoMax</w:t>
      </w:r>
      <w:proofErr w:type="spellEnd"/>
      <w:r w:rsidR="004D6870" w:rsidRPr="002D5927">
        <w:rPr>
          <w:bCs/>
          <w:kern w:val="3"/>
        </w:rPr>
        <w:t>® en 250 ml</w:t>
      </w:r>
      <w:r w:rsidRPr="002D5927">
        <w:rPr>
          <w:bCs/>
          <w:kern w:val="3"/>
        </w:rPr>
        <w:t xml:space="preserve"> </w:t>
      </w:r>
      <w:r w:rsidR="004D6870" w:rsidRPr="002D5927">
        <w:rPr>
          <w:bCs/>
          <w:kern w:val="3"/>
        </w:rPr>
        <w:t xml:space="preserve">de agua </w:t>
      </w:r>
      <w:r w:rsidR="00743450">
        <w:rPr>
          <w:bCs/>
          <w:kern w:val="3"/>
        </w:rPr>
        <w:t>y tratamiento 4:</w:t>
      </w:r>
      <w:r w:rsidR="004D6870" w:rsidRPr="002D5927">
        <w:rPr>
          <w:bCs/>
          <w:kern w:val="3"/>
        </w:rPr>
        <w:t xml:space="preserve"> combinación </w:t>
      </w:r>
      <w:r w:rsidR="00D24850" w:rsidRPr="002D5927">
        <w:rPr>
          <w:bCs/>
          <w:kern w:val="3"/>
        </w:rPr>
        <w:t xml:space="preserve">primero en la solución de </w:t>
      </w:r>
      <w:proofErr w:type="spellStart"/>
      <w:r w:rsidR="00D06691" w:rsidRPr="002D5927">
        <w:rPr>
          <w:bCs/>
          <w:kern w:val="3"/>
        </w:rPr>
        <w:t>QuitoMax</w:t>
      </w:r>
      <w:proofErr w:type="spellEnd"/>
      <w:r w:rsidR="004D6870" w:rsidRPr="002D5927">
        <w:rPr>
          <w:bCs/>
          <w:kern w:val="3"/>
        </w:rPr>
        <w:t xml:space="preserve">® y luego en la de </w:t>
      </w:r>
      <w:proofErr w:type="spellStart"/>
      <w:r w:rsidR="005D1D06" w:rsidRPr="002D5927">
        <w:rPr>
          <w:bCs/>
          <w:kern w:val="3"/>
        </w:rPr>
        <w:t>Azofer</w:t>
      </w:r>
      <w:proofErr w:type="spellEnd"/>
      <w:r w:rsidR="005D1D06" w:rsidRPr="002D5927">
        <w:rPr>
          <w:bCs/>
          <w:kern w:val="3"/>
        </w:rPr>
        <w:t>-S®</w:t>
      </w:r>
      <w:r w:rsidR="004D6870" w:rsidRPr="002D5927">
        <w:rPr>
          <w:bCs/>
          <w:kern w:val="3"/>
        </w:rPr>
        <w:t>,</w:t>
      </w:r>
      <w:r w:rsidR="00BF021F" w:rsidRPr="002D5927">
        <w:rPr>
          <w:bCs/>
          <w:kern w:val="3"/>
        </w:rPr>
        <w:t xml:space="preserve"> </w:t>
      </w:r>
      <w:r w:rsidRPr="002D5927">
        <w:rPr>
          <w:bCs/>
          <w:kern w:val="3"/>
        </w:rPr>
        <w:t xml:space="preserve">se evaluaron las </w:t>
      </w:r>
      <w:r w:rsidR="00BF021F" w:rsidRPr="002D5927">
        <w:rPr>
          <w:bCs/>
          <w:kern w:val="3"/>
        </w:rPr>
        <w:t>variables: Número de vainas por planta</w:t>
      </w:r>
      <w:r w:rsidRPr="002D5927">
        <w:rPr>
          <w:bCs/>
          <w:kern w:val="3"/>
        </w:rPr>
        <w:t xml:space="preserve">, número </w:t>
      </w:r>
      <w:r w:rsidR="00BF021F" w:rsidRPr="002D5927">
        <w:rPr>
          <w:bCs/>
          <w:kern w:val="3"/>
        </w:rPr>
        <w:t>de granos por planta, peso d</w:t>
      </w:r>
      <w:r w:rsidR="00234280" w:rsidRPr="002D5927">
        <w:rPr>
          <w:bCs/>
          <w:kern w:val="3"/>
        </w:rPr>
        <w:t xml:space="preserve">e 100 semillas y el rendimiento, </w:t>
      </w:r>
      <w:r w:rsidR="00D82844" w:rsidRPr="002D5927">
        <w:rPr>
          <w:bCs/>
          <w:kern w:val="3"/>
        </w:rPr>
        <w:t xml:space="preserve">así como una breve </w:t>
      </w:r>
      <w:r w:rsidR="00234280" w:rsidRPr="002D5927">
        <w:rPr>
          <w:bCs/>
          <w:kern w:val="3"/>
        </w:rPr>
        <w:t>valoración económica.</w:t>
      </w:r>
      <w:r w:rsidR="00BF021F" w:rsidRPr="002D5927">
        <w:rPr>
          <w:bCs/>
          <w:kern w:val="3"/>
        </w:rPr>
        <w:t xml:space="preserve"> El diseño empleado</w:t>
      </w:r>
      <w:r w:rsidRPr="002D5927">
        <w:rPr>
          <w:bCs/>
          <w:kern w:val="3"/>
        </w:rPr>
        <w:t xml:space="preserve"> fue</w:t>
      </w:r>
      <w:r w:rsidR="00BF021F" w:rsidRPr="002D5927">
        <w:rPr>
          <w:bCs/>
          <w:kern w:val="3"/>
        </w:rPr>
        <w:t xml:space="preserve"> el de bloque al azar</w:t>
      </w:r>
      <w:r w:rsidRPr="002D5927">
        <w:rPr>
          <w:bCs/>
          <w:kern w:val="3"/>
        </w:rPr>
        <w:t xml:space="preserve"> con cuatro tratamientos</w:t>
      </w:r>
      <w:r w:rsidR="00BF021F" w:rsidRPr="002D5927">
        <w:rPr>
          <w:bCs/>
          <w:kern w:val="3"/>
        </w:rPr>
        <w:t xml:space="preserve"> en cuatro replicas. Se aplicó un a</w:t>
      </w:r>
      <w:r w:rsidRPr="002D5927">
        <w:rPr>
          <w:bCs/>
          <w:kern w:val="3"/>
        </w:rPr>
        <w:t xml:space="preserve">nálisis de varianza </w:t>
      </w:r>
      <w:r w:rsidR="00E134CB" w:rsidRPr="002D5927">
        <w:rPr>
          <w:bCs/>
          <w:kern w:val="3"/>
        </w:rPr>
        <w:t>de clasificación doble</w:t>
      </w:r>
      <w:r w:rsidRPr="002D5927">
        <w:rPr>
          <w:bCs/>
          <w:kern w:val="3"/>
        </w:rPr>
        <w:t xml:space="preserve"> y cuando </w:t>
      </w:r>
      <w:r w:rsidR="00BF021F" w:rsidRPr="002D5927">
        <w:rPr>
          <w:bCs/>
          <w:kern w:val="3"/>
        </w:rPr>
        <w:t>existieron</w:t>
      </w:r>
      <w:r w:rsidRPr="002D5927">
        <w:rPr>
          <w:bCs/>
          <w:kern w:val="3"/>
        </w:rPr>
        <w:t xml:space="preserve"> </w:t>
      </w:r>
      <w:r w:rsidR="00BF021F" w:rsidRPr="002D5927">
        <w:rPr>
          <w:bCs/>
          <w:kern w:val="3"/>
        </w:rPr>
        <w:t>diferencias significativas una p</w:t>
      </w:r>
      <w:r w:rsidRPr="002D5927">
        <w:rPr>
          <w:bCs/>
          <w:kern w:val="3"/>
        </w:rPr>
        <w:t>rueba de Compara</w:t>
      </w:r>
      <w:r w:rsidR="00BF021F" w:rsidRPr="002D5927">
        <w:rPr>
          <w:bCs/>
          <w:kern w:val="3"/>
        </w:rPr>
        <w:t>ción Múltiple de Media por Duncan</w:t>
      </w:r>
      <w:r w:rsidRPr="002D5927">
        <w:rPr>
          <w:bCs/>
          <w:kern w:val="3"/>
        </w:rPr>
        <w:t xml:space="preserve"> para un</w:t>
      </w:r>
      <w:r w:rsidR="00BF021F" w:rsidRPr="002D5927">
        <w:rPr>
          <w:bCs/>
          <w:kern w:val="3"/>
        </w:rPr>
        <w:t xml:space="preserve"> 5% de probabilidad del error</w:t>
      </w:r>
      <w:r w:rsidRPr="002D5927">
        <w:rPr>
          <w:bCs/>
          <w:kern w:val="3"/>
        </w:rPr>
        <w:t>. Los resu</w:t>
      </w:r>
      <w:r w:rsidR="00234280" w:rsidRPr="002D5927">
        <w:rPr>
          <w:bCs/>
          <w:kern w:val="3"/>
        </w:rPr>
        <w:t>ltados obtenidos demostraron la efectividad al combinar</w:t>
      </w:r>
      <w:r w:rsidR="00BF021F" w:rsidRPr="002D5927">
        <w:rPr>
          <w:bCs/>
          <w:kern w:val="3"/>
        </w:rPr>
        <w:t xml:space="preserve"> </w:t>
      </w:r>
      <w:r w:rsidR="00234280" w:rsidRPr="002D5927">
        <w:rPr>
          <w:bCs/>
          <w:kern w:val="3"/>
        </w:rPr>
        <w:t xml:space="preserve">los dos </w:t>
      </w:r>
      <w:proofErr w:type="spellStart"/>
      <w:r w:rsidR="00BF021F" w:rsidRPr="002D5927">
        <w:rPr>
          <w:bCs/>
          <w:kern w:val="3"/>
        </w:rPr>
        <w:t>bioinsumos</w:t>
      </w:r>
      <w:proofErr w:type="spellEnd"/>
      <w:r w:rsidR="00234280" w:rsidRPr="002D5927">
        <w:rPr>
          <w:bCs/>
          <w:kern w:val="3"/>
        </w:rPr>
        <w:t>,</w:t>
      </w:r>
      <w:r w:rsidRPr="002D5927">
        <w:rPr>
          <w:bCs/>
          <w:kern w:val="3"/>
        </w:rPr>
        <w:t xml:space="preserve"> al </w:t>
      </w:r>
      <w:r w:rsidR="00BF021F" w:rsidRPr="002D5927">
        <w:rPr>
          <w:bCs/>
          <w:kern w:val="3"/>
        </w:rPr>
        <w:t xml:space="preserve">obtener </w:t>
      </w:r>
      <w:r w:rsidR="00234280" w:rsidRPr="002D5927">
        <w:rPr>
          <w:bCs/>
          <w:kern w:val="3"/>
        </w:rPr>
        <w:t xml:space="preserve">el mayor </w:t>
      </w:r>
      <w:r w:rsidR="00BF021F" w:rsidRPr="002D5927">
        <w:rPr>
          <w:bCs/>
          <w:kern w:val="3"/>
        </w:rPr>
        <w:t>rendimiento de (2</w:t>
      </w:r>
      <w:r w:rsidR="00052CBA" w:rsidRPr="002D5927">
        <w:rPr>
          <w:bCs/>
          <w:kern w:val="3"/>
        </w:rPr>
        <w:t>,</w:t>
      </w:r>
      <w:r w:rsidR="00BF021F" w:rsidRPr="002D5927">
        <w:rPr>
          <w:bCs/>
          <w:kern w:val="3"/>
        </w:rPr>
        <w:t>05 t</w:t>
      </w:r>
      <w:r w:rsidR="00052CBA" w:rsidRPr="002D5927">
        <w:rPr>
          <w:bCs/>
          <w:kern w:val="3"/>
        </w:rPr>
        <w:t xml:space="preserve"> </w:t>
      </w:r>
      <w:r w:rsidR="00BF021F" w:rsidRPr="002D5927">
        <w:rPr>
          <w:bCs/>
          <w:kern w:val="3"/>
        </w:rPr>
        <w:t>ha</w:t>
      </w:r>
      <w:r w:rsidR="00BF021F" w:rsidRPr="002D5927">
        <w:rPr>
          <w:bCs/>
          <w:kern w:val="3"/>
          <w:vertAlign w:val="superscript"/>
        </w:rPr>
        <w:t>-1</w:t>
      </w:r>
      <w:r w:rsidR="00BF021F" w:rsidRPr="002D5927">
        <w:rPr>
          <w:bCs/>
          <w:kern w:val="3"/>
        </w:rPr>
        <w:t>)</w:t>
      </w:r>
      <w:r w:rsidR="00234280" w:rsidRPr="002D5927">
        <w:rPr>
          <w:bCs/>
          <w:kern w:val="3"/>
        </w:rPr>
        <w:t xml:space="preserve"> y el mejor efecto económico</w:t>
      </w:r>
      <w:r w:rsidR="00D24850" w:rsidRPr="002D5927">
        <w:rPr>
          <w:bCs/>
          <w:kern w:val="3"/>
        </w:rPr>
        <w:t xml:space="preserve">, donde se aplicó </w:t>
      </w:r>
      <w:proofErr w:type="spellStart"/>
      <w:r w:rsidR="00D06691" w:rsidRPr="002D5927">
        <w:rPr>
          <w:bCs/>
          <w:kern w:val="3"/>
        </w:rPr>
        <w:t>QuitoMax</w:t>
      </w:r>
      <w:proofErr w:type="spellEnd"/>
      <w:r w:rsidR="00C70FDF" w:rsidRPr="002D5927">
        <w:rPr>
          <w:bCs/>
          <w:kern w:val="3"/>
        </w:rPr>
        <w:t>® (1,</w:t>
      </w:r>
      <w:r w:rsidR="00BF021F" w:rsidRPr="002D5927">
        <w:rPr>
          <w:bCs/>
          <w:kern w:val="3"/>
        </w:rPr>
        <w:t>62 t</w:t>
      </w:r>
      <w:r w:rsidR="00C70FDF" w:rsidRPr="002D5927">
        <w:rPr>
          <w:bCs/>
          <w:kern w:val="3"/>
        </w:rPr>
        <w:t xml:space="preserve"> </w:t>
      </w:r>
      <w:r w:rsidR="00BF021F" w:rsidRPr="002D5927">
        <w:rPr>
          <w:bCs/>
          <w:kern w:val="3"/>
        </w:rPr>
        <w:t>ha</w:t>
      </w:r>
      <w:r w:rsidR="00FB13D3" w:rsidRPr="002D5927">
        <w:rPr>
          <w:bCs/>
          <w:kern w:val="3"/>
          <w:vertAlign w:val="superscript"/>
        </w:rPr>
        <w:t>-1</w:t>
      </w:r>
      <w:r w:rsidR="00FB13D3" w:rsidRPr="002D5927">
        <w:rPr>
          <w:bCs/>
          <w:kern w:val="3"/>
        </w:rPr>
        <w:t xml:space="preserve">) y con </w:t>
      </w:r>
      <w:proofErr w:type="spellStart"/>
      <w:r w:rsidR="005D1D06" w:rsidRPr="002D5927">
        <w:rPr>
          <w:bCs/>
          <w:kern w:val="3"/>
        </w:rPr>
        <w:t>Azofer</w:t>
      </w:r>
      <w:proofErr w:type="spellEnd"/>
      <w:r w:rsidR="005D1D06" w:rsidRPr="002D5927">
        <w:rPr>
          <w:bCs/>
          <w:kern w:val="3"/>
        </w:rPr>
        <w:t>-S®</w:t>
      </w:r>
      <w:r w:rsidR="00FB13D3" w:rsidRPr="002D5927">
        <w:rPr>
          <w:bCs/>
          <w:kern w:val="3"/>
        </w:rPr>
        <w:t xml:space="preserve"> (1</w:t>
      </w:r>
      <w:r w:rsidR="00C70FDF" w:rsidRPr="002D5927">
        <w:rPr>
          <w:bCs/>
          <w:kern w:val="3"/>
        </w:rPr>
        <w:t>,</w:t>
      </w:r>
      <w:r w:rsidR="00FB13D3" w:rsidRPr="002D5927">
        <w:rPr>
          <w:bCs/>
          <w:kern w:val="3"/>
        </w:rPr>
        <w:t>19 t</w:t>
      </w:r>
      <w:r w:rsidR="00C70FDF" w:rsidRPr="002D5927">
        <w:rPr>
          <w:bCs/>
          <w:kern w:val="3"/>
        </w:rPr>
        <w:t xml:space="preserve"> </w:t>
      </w:r>
      <w:r w:rsidR="00FB13D3" w:rsidRPr="002D5927">
        <w:rPr>
          <w:bCs/>
          <w:kern w:val="3"/>
        </w:rPr>
        <w:t>ha</w:t>
      </w:r>
      <w:r w:rsidR="00FB13D3" w:rsidRPr="002D5927">
        <w:rPr>
          <w:bCs/>
          <w:kern w:val="3"/>
          <w:vertAlign w:val="superscript"/>
        </w:rPr>
        <w:t>-1</w:t>
      </w:r>
      <w:r w:rsidR="00234280" w:rsidRPr="002D5927">
        <w:rPr>
          <w:bCs/>
          <w:kern w:val="3"/>
        </w:rPr>
        <w:t>) de rendimiento respectivamente, superando al t</w:t>
      </w:r>
      <w:r w:rsidR="00C70FDF" w:rsidRPr="002D5927">
        <w:rPr>
          <w:bCs/>
          <w:kern w:val="3"/>
        </w:rPr>
        <w:t>ratamiento control</w:t>
      </w:r>
      <w:r w:rsidR="00234280" w:rsidRPr="002D5927">
        <w:rPr>
          <w:bCs/>
          <w:kern w:val="3"/>
        </w:rPr>
        <w:t xml:space="preserve"> y mostrando un efecto económico positivo. </w:t>
      </w:r>
    </w:p>
    <w:p w14:paraId="57EAE193" w14:textId="77777777" w:rsidR="00EF0E16" w:rsidRPr="002D5927" w:rsidRDefault="00FB13D3" w:rsidP="00454E8E">
      <w:pPr>
        <w:tabs>
          <w:tab w:val="left" w:pos="142"/>
        </w:tabs>
        <w:spacing w:after="120" w:line="360" w:lineRule="auto"/>
        <w:jc w:val="both"/>
        <w:rPr>
          <w:bCs/>
          <w:kern w:val="3"/>
        </w:rPr>
      </w:pPr>
      <w:r w:rsidRPr="002D5927">
        <w:rPr>
          <w:bCs/>
          <w:kern w:val="3"/>
        </w:rPr>
        <w:t xml:space="preserve">Palabras claves: </w:t>
      </w:r>
      <w:proofErr w:type="spellStart"/>
      <w:r w:rsidRPr="002D5927">
        <w:rPr>
          <w:bCs/>
          <w:kern w:val="3"/>
        </w:rPr>
        <w:t>Bioinsumos</w:t>
      </w:r>
      <w:proofErr w:type="spellEnd"/>
      <w:r w:rsidR="00EF0E16" w:rsidRPr="002D5927">
        <w:rPr>
          <w:bCs/>
          <w:kern w:val="3"/>
        </w:rPr>
        <w:t>, soya, rendimiento</w:t>
      </w:r>
      <w:r w:rsidRPr="002D5927">
        <w:rPr>
          <w:bCs/>
          <w:kern w:val="3"/>
        </w:rPr>
        <w:t>.</w:t>
      </w:r>
    </w:p>
    <w:p w14:paraId="68DC9A58" w14:textId="77777777" w:rsidR="002240AD" w:rsidRPr="002D5927" w:rsidRDefault="005D2818" w:rsidP="00454E8E">
      <w:pPr>
        <w:tabs>
          <w:tab w:val="left" w:pos="142"/>
        </w:tabs>
        <w:spacing w:after="120" w:line="360" w:lineRule="auto"/>
        <w:jc w:val="both"/>
        <w:rPr>
          <w:lang w:val="en-US"/>
        </w:rPr>
      </w:pPr>
      <w:r w:rsidRPr="002D5927">
        <w:rPr>
          <w:b/>
          <w:bCs/>
          <w:kern w:val="3"/>
          <w:lang w:val="en-US"/>
        </w:rPr>
        <w:t>ABSTRACT</w:t>
      </w:r>
    </w:p>
    <w:p w14:paraId="721A1FEC" w14:textId="77777777" w:rsidR="000F39D0" w:rsidRPr="002D5927" w:rsidRDefault="001F4A69" w:rsidP="00454E8E">
      <w:pPr>
        <w:spacing w:after="120" w:line="360" w:lineRule="auto"/>
        <w:jc w:val="both"/>
        <w:rPr>
          <w:lang w:val="en"/>
        </w:rPr>
      </w:pPr>
      <w:r w:rsidRPr="002D5927">
        <w:rPr>
          <w:lang w:val="en"/>
        </w:rPr>
        <w:t xml:space="preserve">The study was conducted in an area dedicated to urban, suburban, and family agriculture, CP Frank País, </w:t>
      </w:r>
      <w:proofErr w:type="spellStart"/>
      <w:r w:rsidRPr="002D5927">
        <w:rPr>
          <w:lang w:val="en"/>
        </w:rPr>
        <w:t>Contramaestre</w:t>
      </w:r>
      <w:proofErr w:type="spellEnd"/>
      <w:r w:rsidRPr="002D5927">
        <w:rPr>
          <w:lang w:val="en"/>
        </w:rPr>
        <w:t xml:space="preserve">, Santiago de Cuba, Cuba. With the objective of evaluating the effect of the bio-inputs </w:t>
      </w:r>
      <w:proofErr w:type="spellStart"/>
      <w:r w:rsidR="00D06691" w:rsidRPr="002D5927">
        <w:rPr>
          <w:lang w:val="en"/>
        </w:rPr>
        <w:t>QuitoMax</w:t>
      </w:r>
      <w:proofErr w:type="spellEnd"/>
      <w:r w:rsidRPr="002D5927">
        <w:rPr>
          <w:lang w:val="en"/>
        </w:rPr>
        <w:t xml:space="preserve">® and </w:t>
      </w:r>
      <w:proofErr w:type="spellStart"/>
      <w:r w:rsidRPr="002D5927">
        <w:rPr>
          <w:lang w:val="en"/>
        </w:rPr>
        <w:t>Azofer</w:t>
      </w:r>
      <w:proofErr w:type="spellEnd"/>
      <w:r w:rsidRPr="002D5927">
        <w:rPr>
          <w:lang w:val="en"/>
        </w:rPr>
        <w:t xml:space="preserve">-S® on the soybean variety (INCASOY-2), the study was carried out from December 2024 to April 2025. The treatments evaluated were: control treatment; imbibition of the seeds in a solution of 500 ml of </w:t>
      </w:r>
      <w:proofErr w:type="spellStart"/>
      <w:r w:rsidRPr="002D5927">
        <w:rPr>
          <w:lang w:val="en"/>
        </w:rPr>
        <w:t>Azofer</w:t>
      </w:r>
      <w:proofErr w:type="spellEnd"/>
      <w:r w:rsidRPr="002D5927">
        <w:rPr>
          <w:lang w:val="en"/>
        </w:rPr>
        <w:t xml:space="preserve">-S® in 1 L of water (treatment 2); a solution of 50 ml of </w:t>
      </w:r>
      <w:proofErr w:type="spellStart"/>
      <w:r w:rsidR="00D06691" w:rsidRPr="002D5927">
        <w:rPr>
          <w:lang w:val="en"/>
        </w:rPr>
        <w:t>QuitoMax</w:t>
      </w:r>
      <w:proofErr w:type="spellEnd"/>
      <w:r w:rsidRPr="002D5927">
        <w:rPr>
          <w:lang w:val="en"/>
        </w:rPr>
        <w:t xml:space="preserve">® in 250 ml of water (treatment 3); and a combination of the two, first in the </w:t>
      </w:r>
      <w:proofErr w:type="spellStart"/>
      <w:r w:rsidR="00D06691" w:rsidRPr="002D5927">
        <w:rPr>
          <w:lang w:val="en"/>
        </w:rPr>
        <w:t>QuitoMax</w:t>
      </w:r>
      <w:proofErr w:type="spellEnd"/>
      <w:r w:rsidRPr="002D5927">
        <w:rPr>
          <w:lang w:val="en"/>
        </w:rPr>
        <w:t xml:space="preserve">® solution and then in the </w:t>
      </w:r>
      <w:proofErr w:type="spellStart"/>
      <w:r w:rsidRPr="002D5927">
        <w:rPr>
          <w:lang w:val="en"/>
        </w:rPr>
        <w:t>Azofer</w:t>
      </w:r>
      <w:proofErr w:type="spellEnd"/>
      <w:r w:rsidRPr="002D5927">
        <w:rPr>
          <w:lang w:val="en"/>
        </w:rPr>
        <w:t>-S® solution (treatment 4). The following variables were evaluated: number of pods per plant, number of grains per plant, weight of 100 seeds, and yield, as well as a brief economic assessment. The experimental design was a randomized complete block design with four treatments in four replicates. A two-way analysis of variance was applied, and when significant differences were found, a Duncan's multiple range test was used for multiple comparisons of means at a 5% probability of error. The results obtained demonstrated the effectiveness of combining the two bio-inputs, achieving the highest yield (2.05 t ha</w:t>
      </w:r>
      <w:r w:rsidRPr="002D5927">
        <w:rPr>
          <w:vertAlign w:val="superscript"/>
          <w:lang w:val="en"/>
        </w:rPr>
        <w:t>-1</w:t>
      </w:r>
      <w:r w:rsidRPr="002D5927">
        <w:rPr>
          <w:lang w:val="en"/>
        </w:rPr>
        <w:t xml:space="preserve">) and the best economic impact with </w:t>
      </w:r>
      <w:proofErr w:type="spellStart"/>
      <w:r w:rsidR="00D06691" w:rsidRPr="002D5927">
        <w:rPr>
          <w:lang w:val="en"/>
        </w:rPr>
        <w:t>QuitoMax</w:t>
      </w:r>
      <w:proofErr w:type="spellEnd"/>
      <w:r w:rsidRPr="002D5927">
        <w:rPr>
          <w:lang w:val="en"/>
        </w:rPr>
        <w:t>® (1.62 t ha</w:t>
      </w:r>
      <w:r w:rsidRPr="002D5927">
        <w:rPr>
          <w:vertAlign w:val="superscript"/>
          <w:lang w:val="en"/>
        </w:rPr>
        <w:t>-1</w:t>
      </w:r>
      <w:r w:rsidRPr="002D5927">
        <w:rPr>
          <w:lang w:val="en"/>
        </w:rPr>
        <w:t xml:space="preserve">) and </w:t>
      </w:r>
      <w:proofErr w:type="spellStart"/>
      <w:r w:rsidRPr="002D5927">
        <w:rPr>
          <w:lang w:val="en"/>
        </w:rPr>
        <w:t>Azofer</w:t>
      </w:r>
      <w:proofErr w:type="spellEnd"/>
      <w:r w:rsidRPr="002D5927">
        <w:rPr>
          <w:lang w:val="en"/>
        </w:rPr>
        <w:t>-S® (1.19 t ha</w:t>
      </w:r>
      <w:r w:rsidRPr="002D5927">
        <w:rPr>
          <w:vertAlign w:val="superscript"/>
          <w:lang w:val="en"/>
        </w:rPr>
        <w:t>-1</w:t>
      </w:r>
      <w:r w:rsidRPr="002D5927">
        <w:rPr>
          <w:lang w:val="en"/>
        </w:rPr>
        <w:t xml:space="preserve">), respectively, surpassing the control treatment and showing a positive economic effect. </w:t>
      </w:r>
    </w:p>
    <w:p w14:paraId="6F478789" w14:textId="77777777" w:rsidR="001F4A69" w:rsidRPr="002D5927" w:rsidRDefault="001F4A69" w:rsidP="00454E8E">
      <w:pPr>
        <w:spacing w:after="120" w:line="360" w:lineRule="auto"/>
        <w:jc w:val="both"/>
        <w:rPr>
          <w:lang w:val="en-US"/>
        </w:rPr>
      </w:pPr>
      <w:r w:rsidRPr="002D5927">
        <w:rPr>
          <w:lang w:val="en-US"/>
        </w:rPr>
        <w:t>Keywords: Bio-inputs, soybeans, yield.</w:t>
      </w:r>
    </w:p>
    <w:p w14:paraId="262774B4" w14:textId="77777777" w:rsidR="007F22F1" w:rsidRPr="002D5927" w:rsidRDefault="00526FF6" w:rsidP="00454E8E">
      <w:pPr>
        <w:tabs>
          <w:tab w:val="left" w:pos="0"/>
        </w:tabs>
        <w:spacing w:after="120" w:line="360" w:lineRule="auto"/>
        <w:contextualSpacing/>
        <w:jc w:val="both"/>
        <w:rPr>
          <w:b/>
          <w:bCs/>
          <w:kern w:val="3"/>
        </w:rPr>
      </w:pPr>
      <w:r w:rsidRPr="002D5927">
        <w:rPr>
          <w:b/>
          <w:bCs/>
          <w:kern w:val="3"/>
        </w:rPr>
        <w:lastRenderedPageBreak/>
        <w:t>Introducción</w:t>
      </w:r>
    </w:p>
    <w:p w14:paraId="52B4E073" w14:textId="64178546" w:rsidR="007F22F1" w:rsidRPr="002D5927" w:rsidRDefault="007F22F1" w:rsidP="00454E8E">
      <w:pPr>
        <w:autoSpaceDE w:val="0"/>
        <w:autoSpaceDN w:val="0"/>
        <w:adjustRightInd w:val="0"/>
        <w:spacing w:after="120" w:line="360" w:lineRule="auto"/>
        <w:jc w:val="both"/>
      </w:pPr>
      <w:r w:rsidRPr="002D5927">
        <w:t>La soya (</w:t>
      </w:r>
      <w:proofErr w:type="spellStart"/>
      <w:r w:rsidRPr="002D5927">
        <w:rPr>
          <w:i/>
          <w:iCs/>
        </w:rPr>
        <w:t>Glycine</w:t>
      </w:r>
      <w:proofErr w:type="spellEnd"/>
      <w:r w:rsidRPr="002D5927">
        <w:rPr>
          <w:i/>
          <w:iCs/>
        </w:rPr>
        <w:t xml:space="preserve"> </w:t>
      </w:r>
      <w:proofErr w:type="spellStart"/>
      <w:r w:rsidRPr="002D5927">
        <w:rPr>
          <w:i/>
          <w:iCs/>
        </w:rPr>
        <w:t>max</w:t>
      </w:r>
      <w:proofErr w:type="spellEnd"/>
      <w:r w:rsidRPr="002D5927">
        <w:rPr>
          <w:i/>
          <w:iCs/>
        </w:rPr>
        <w:t xml:space="preserve"> </w:t>
      </w:r>
      <w:r w:rsidRPr="002D5927">
        <w:t>L. Merrill) constituye uno de los diez</w:t>
      </w:r>
      <w:r w:rsidR="00775F6B">
        <w:t xml:space="preserve"> cultivos más importante</w:t>
      </w:r>
      <w:r w:rsidR="00FB2572">
        <w:t>s</w:t>
      </w:r>
      <w:r w:rsidR="00775F6B">
        <w:t xml:space="preserve"> en el mundo</w:t>
      </w:r>
      <w:r w:rsidRPr="002D5927">
        <w:t xml:space="preserve"> y </w:t>
      </w:r>
      <w:r w:rsidR="00775F6B">
        <w:t xml:space="preserve">de mejor </w:t>
      </w:r>
      <w:r w:rsidRPr="002D5927">
        <w:t xml:space="preserve">calidad </w:t>
      </w:r>
      <w:r w:rsidR="00775F6B">
        <w:t xml:space="preserve">en la producción de aceite </w:t>
      </w:r>
      <w:r w:rsidRPr="002D5927">
        <w:t>(</w:t>
      </w:r>
      <w:proofErr w:type="spellStart"/>
      <w:r w:rsidRPr="002D5927">
        <w:t>Orzali</w:t>
      </w:r>
      <w:proofErr w:type="spellEnd"/>
      <w:r w:rsidRPr="002D5927">
        <w:t xml:space="preserve"> </w:t>
      </w:r>
      <w:r w:rsidRPr="002D5927">
        <w:rPr>
          <w:i/>
          <w:iCs/>
        </w:rPr>
        <w:t>et al</w:t>
      </w:r>
      <w:r w:rsidRPr="002D5927">
        <w:t xml:space="preserve">., 2018). En promedio, el grano seco contiene 20 % de aceite y 40 % de proteína. Los principales subproductos obtenidos de la soya son el aceite para el consumo humano y la harina utilizada como ingrediente proteico de alimentos balanceados para animales domésticos (principalmente cerdos y aves). Además, el aceite representa una opción para la producción de biodiesel (Lope </w:t>
      </w:r>
      <w:r w:rsidRPr="002D5927">
        <w:rPr>
          <w:i/>
          <w:iCs/>
        </w:rPr>
        <w:t>et al</w:t>
      </w:r>
      <w:r w:rsidRPr="002D5927">
        <w:t>., 2018).</w:t>
      </w:r>
    </w:p>
    <w:p w14:paraId="5350146E" w14:textId="680E7EB3" w:rsidR="00E57729" w:rsidRDefault="00E57729" w:rsidP="00454E8E">
      <w:pPr>
        <w:autoSpaceDE w:val="0"/>
        <w:autoSpaceDN w:val="0"/>
        <w:adjustRightInd w:val="0"/>
        <w:spacing w:after="120" w:line="360" w:lineRule="auto"/>
        <w:jc w:val="both"/>
      </w:pPr>
      <w:r w:rsidRPr="00E57729">
        <w:t>Hoy en día, la soya se cultiva en una superficie de 66 millones de hectáreas en todo el mundo y en 1996 la producción mundial llegó a los 130 millones de toneladas, concentrándose las mayores producciones en cultivos de mayor importancia económica a nivel mundial, por ser la fuente más importante de concentrados proteicos y aceite vegetal. De las oleaginosas que se producen a nivel mundial, el frijol de soya ocupa el primer lugar en cuanto a producción y consumo con más del 50% en cada uno de esos conceptos, en relación al de las semillas oleaginosas, por su gran diversidad de usos, derivado de su alto contenido de proteína Estados Unidos, Brasil, China, Argentina y la India con el 91% del volumen total; sin embargo, los países tropicales a pesar de ser los más necesitados se encuentran más rezagados (</w:t>
      </w:r>
      <w:proofErr w:type="spellStart"/>
      <w:r w:rsidRPr="00E57729">
        <w:t>Goyal</w:t>
      </w:r>
      <w:proofErr w:type="spellEnd"/>
      <w:r w:rsidRPr="00E57729">
        <w:t xml:space="preserve"> et al., 2021).</w:t>
      </w:r>
    </w:p>
    <w:p w14:paraId="08D87A71" w14:textId="4770F411" w:rsidR="007F22F1" w:rsidRPr="002D5927" w:rsidRDefault="007F22F1" w:rsidP="00454E8E">
      <w:pPr>
        <w:autoSpaceDE w:val="0"/>
        <w:autoSpaceDN w:val="0"/>
        <w:adjustRightInd w:val="0"/>
        <w:spacing w:after="120" w:line="360" w:lineRule="auto"/>
        <w:jc w:val="both"/>
      </w:pPr>
      <w:r w:rsidRPr="002D5927">
        <w:t>Con la difusión internacional del consumo de este cultivo en la alimentación humana, la industria alimentaria en Cuba incluyó entre sus renglones leche y quesos elaborados a partir de la leguminosa y posteriormente se introdujo como extensor de productos cárnicos, entre otras variantes. A pesar de estas disponibilidades, la población cubana no la incluye aún entre sus principales demandas, aunque por años ha usado la salsa de soya como condimento en la preparación d</w:t>
      </w:r>
      <w:r w:rsidR="00F85BE3" w:rsidRPr="002D5927">
        <w:t>e carnes y arroces (González 201</w:t>
      </w:r>
      <w:r w:rsidRPr="002D5927">
        <w:t>5).</w:t>
      </w:r>
    </w:p>
    <w:p w14:paraId="73DDEA1C" w14:textId="77777777" w:rsidR="000B5E50" w:rsidRPr="002D5927" w:rsidRDefault="007F22F1" w:rsidP="00454E8E">
      <w:pPr>
        <w:autoSpaceDE w:val="0"/>
        <w:autoSpaceDN w:val="0"/>
        <w:adjustRightInd w:val="0"/>
        <w:spacing w:after="120" w:line="360" w:lineRule="auto"/>
        <w:jc w:val="both"/>
      </w:pPr>
      <w:r w:rsidRPr="002D5927">
        <w:t xml:space="preserve">La búsqueda de nuevas alternativas que ayuden a disminuir los costos de la producción agrícola cuidando el medio ambiente, obliga a estudiar la posibilidad de utilizar el potencial que tienen los </w:t>
      </w:r>
      <w:proofErr w:type="spellStart"/>
      <w:r w:rsidRPr="002D5927">
        <w:t>bioproductos</w:t>
      </w:r>
      <w:proofErr w:type="spellEnd"/>
      <w:r w:rsidRPr="002D5927">
        <w:t xml:space="preserve"> para las plantas. En este contexto, los </w:t>
      </w:r>
      <w:proofErr w:type="spellStart"/>
      <w:r w:rsidRPr="002D5927">
        <w:t>Bioestimulantes</w:t>
      </w:r>
      <w:proofErr w:type="spellEnd"/>
      <w:r w:rsidRPr="002D5927">
        <w:t xml:space="preserve">, independientemente de su contenido de nutrientes, pueden contener sustancias, compuestos o microorganismos, cuyo uso funcional, cuando se aplican a las plantas o a la rizosfera, implica la mejora del desarrollo del cultivo, el vigor, el rendimiento y la calidad, mediante la estimulación de procesos naturales que benefician el crecimiento y las respuestas a estrés biótico y abiótico (Brown y </w:t>
      </w:r>
      <w:proofErr w:type="spellStart"/>
      <w:r w:rsidRPr="002D5927">
        <w:t>Saa</w:t>
      </w:r>
      <w:proofErr w:type="spellEnd"/>
      <w:r w:rsidRPr="002D5927">
        <w:t>, 2015).</w:t>
      </w:r>
    </w:p>
    <w:p w14:paraId="236B3059" w14:textId="225E7463" w:rsidR="007F22F1" w:rsidRPr="002D5927" w:rsidRDefault="007F22F1" w:rsidP="00454E8E">
      <w:pPr>
        <w:autoSpaceDE w:val="0"/>
        <w:autoSpaceDN w:val="0"/>
        <w:adjustRightInd w:val="0"/>
        <w:spacing w:after="120" w:line="360" w:lineRule="auto"/>
        <w:jc w:val="both"/>
      </w:pPr>
      <w:r w:rsidRPr="002D5927">
        <w:lastRenderedPageBreak/>
        <w:t xml:space="preserve">En la actualidad las investigaciones están dirigidas a la evaluación integral de  las tecnologías de este cultivo, prestando gran atención a sus requerimientos nutricionales, ya que es un cultivo exigente a la misma para alcanzar los rendimientos deseados, es conocido por todos que estos insumos no están disponibles hoy en nuestro país y una de las alternativas que permiten reducir el fertilizante mineral en varios cultivos entre un 25 y un 50% son los  </w:t>
      </w:r>
      <w:proofErr w:type="spellStart"/>
      <w:r w:rsidRPr="002D5927">
        <w:t>bioinsumos</w:t>
      </w:r>
      <w:proofErr w:type="spellEnd"/>
      <w:r w:rsidRPr="002D5927">
        <w:t xml:space="preserve"> agrícolas (</w:t>
      </w:r>
      <w:proofErr w:type="spellStart"/>
      <w:r w:rsidR="001D0BB9" w:rsidRPr="002D5927">
        <w:t>Chavéz</w:t>
      </w:r>
      <w:proofErr w:type="spellEnd"/>
      <w:r w:rsidRPr="002D5927">
        <w:t xml:space="preserve"> </w:t>
      </w:r>
      <w:r w:rsidRPr="002D5927">
        <w:rPr>
          <w:i/>
          <w:iCs/>
        </w:rPr>
        <w:t>et al</w:t>
      </w:r>
      <w:r w:rsidRPr="002D5927">
        <w:t xml:space="preserve">., 2020), con su aplicación se puede beneficiar el crecimiento de la planta y no solo hacer más eficiente el uso de los fertilizantes minerales, sino incrementar los rendimientos en los mismos. </w:t>
      </w:r>
    </w:p>
    <w:p w14:paraId="622A97A1" w14:textId="77777777" w:rsidR="0060053D" w:rsidRPr="002D5927" w:rsidRDefault="007F22F1" w:rsidP="00454E8E">
      <w:pPr>
        <w:autoSpaceDE w:val="0"/>
        <w:autoSpaceDN w:val="0"/>
        <w:adjustRightInd w:val="0"/>
        <w:spacing w:after="120" w:line="360" w:lineRule="auto"/>
        <w:jc w:val="both"/>
      </w:pPr>
      <w:r w:rsidRPr="002D5927">
        <w:t xml:space="preserve">Los quitosanos y el </w:t>
      </w:r>
      <w:proofErr w:type="spellStart"/>
      <w:r w:rsidR="005D1D06" w:rsidRPr="002D5927">
        <w:t>Azofer</w:t>
      </w:r>
      <w:proofErr w:type="spellEnd"/>
      <w:r w:rsidR="005D1D06" w:rsidRPr="002D5927">
        <w:t>-S®</w:t>
      </w:r>
      <w:r w:rsidRPr="002D5927">
        <w:t xml:space="preserve"> han sido implicados en la inducción de una gran variedad de respuestas vinculadas a la defensa en varios sistemas de plantas, como son la expresión de genes defensivos, la inducción de fitoalexinas y proteínas de resistencia, la lignificación de las paredes celulares, entre otros, esta respuesta inducida en plantas depende de numerosos factores, tales como la especie vegetal, el microorganismo patógeno, las características físico-químicas del </w:t>
      </w:r>
      <w:proofErr w:type="spellStart"/>
      <w:r w:rsidRPr="002D5927">
        <w:t>bioinsumo</w:t>
      </w:r>
      <w:proofErr w:type="spellEnd"/>
      <w:r w:rsidRPr="002D5927">
        <w:t xml:space="preserve"> y la forma en que se aplican (</w:t>
      </w:r>
      <w:proofErr w:type="spellStart"/>
      <w:r w:rsidRPr="002D5927">
        <w:t>Adeleke</w:t>
      </w:r>
      <w:proofErr w:type="spellEnd"/>
      <w:r w:rsidRPr="002D5927">
        <w:t xml:space="preserve">  </w:t>
      </w:r>
      <w:r w:rsidRPr="002D5927">
        <w:rPr>
          <w:i/>
          <w:iCs/>
        </w:rPr>
        <w:t>et al</w:t>
      </w:r>
      <w:r w:rsidRPr="002D5927">
        <w:t>., 2019).</w:t>
      </w:r>
    </w:p>
    <w:p w14:paraId="1707D867" w14:textId="77777777" w:rsidR="0060053D" w:rsidRPr="002D5927" w:rsidRDefault="007F22F1" w:rsidP="00454E8E">
      <w:pPr>
        <w:autoSpaceDE w:val="0"/>
        <w:autoSpaceDN w:val="0"/>
        <w:adjustRightInd w:val="0"/>
        <w:spacing w:after="120" w:line="360" w:lineRule="auto"/>
        <w:jc w:val="both"/>
      </w:pPr>
      <w:r w:rsidRPr="002D5927">
        <w:t xml:space="preserve"> El </w:t>
      </w:r>
      <w:proofErr w:type="spellStart"/>
      <w:r w:rsidR="00D06691" w:rsidRPr="002D5927">
        <w:t>QuitoMax</w:t>
      </w:r>
      <w:proofErr w:type="spellEnd"/>
      <w:r w:rsidRPr="002D5927">
        <w:t xml:space="preserve">®, </w:t>
      </w:r>
      <w:proofErr w:type="spellStart"/>
      <w:r w:rsidRPr="002D5927">
        <w:t>bioestimulante</w:t>
      </w:r>
      <w:proofErr w:type="spellEnd"/>
      <w:r w:rsidRPr="002D5927">
        <w:t xml:space="preserve"> líquido a base de polímeros de quitosano, desarrollado por el Instituto Nacional de Ciencias Agrícolas, se encuentra entre los productos que han sido utilizados como estimuladores del rendimiento en varios cultivos (Martínez </w:t>
      </w:r>
      <w:r w:rsidRPr="002D5927">
        <w:rPr>
          <w:i/>
          <w:iCs/>
        </w:rPr>
        <w:t>et al</w:t>
      </w:r>
      <w:r w:rsidRPr="002D5927">
        <w:t>., 2017).</w:t>
      </w:r>
    </w:p>
    <w:p w14:paraId="2305A3E3" w14:textId="27AC8AB9" w:rsidR="007F22F1" w:rsidRPr="002D5927" w:rsidRDefault="0060053D" w:rsidP="00454E8E">
      <w:pPr>
        <w:autoSpaceDE w:val="0"/>
        <w:autoSpaceDN w:val="0"/>
        <w:adjustRightInd w:val="0"/>
        <w:spacing w:after="120" w:line="360" w:lineRule="auto"/>
        <w:jc w:val="both"/>
      </w:pPr>
      <w:r w:rsidRPr="002D5927">
        <w:t>S</w:t>
      </w:r>
      <w:r w:rsidR="007F22F1" w:rsidRPr="002D5927">
        <w:t xml:space="preserve">e propone como </w:t>
      </w:r>
      <w:r w:rsidR="007F22F1" w:rsidRPr="002D5927">
        <w:rPr>
          <w:b/>
          <w:bCs/>
        </w:rPr>
        <w:t xml:space="preserve">objetivo general. </w:t>
      </w:r>
      <w:r w:rsidR="007F22F1" w:rsidRPr="002D5927">
        <w:rPr>
          <w:bCs/>
        </w:rPr>
        <w:t xml:space="preserve">“Evaluar el efecto el </w:t>
      </w:r>
      <w:proofErr w:type="spellStart"/>
      <w:r w:rsidR="00D06691" w:rsidRPr="002D5927">
        <w:rPr>
          <w:bCs/>
        </w:rPr>
        <w:t>QuitoMax</w:t>
      </w:r>
      <w:proofErr w:type="spellEnd"/>
      <w:r w:rsidR="007F22F1" w:rsidRPr="002D5927">
        <w:rPr>
          <w:bCs/>
        </w:rPr>
        <w:t xml:space="preserve">® y </w:t>
      </w:r>
      <w:proofErr w:type="spellStart"/>
      <w:r w:rsidR="005D1D06" w:rsidRPr="002D5927">
        <w:rPr>
          <w:bCs/>
        </w:rPr>
        <w:t>Azofer</w:t>
      </w:r>
      <w:proofErr w:type="spellEnd"/>
      <w:r w:rsidR="005D1D06" w:rsidRPr="002D5927">
        <w:rPr>
          <w:bCs/>
        </w:rPr>
        <w:t>-S®</w:t>
      </w:r>
      <w:r w:rsidRPr="002D5927">
        <w:rPr>
          <w:bCs/>
        </w:rPr>
        <w:t xml:space="preserve"> en el cultivo de la soya</w:t>
      </w:r>
      <w:r w:rsidR="007F22F1" w:rsidRPr="002D5927">
        <w:rPr>
          <w:bCs/>
        </w:rPr>
        <w:t>, variedad “INCASOY-2”</w:t>
      </w:r>
    </w:p>
    <w:p w14:paraId="2A6D0559" w14:textId="77777777" w:rsidR="007F22F1" w:rsidRPr="002D5927" w:rsidRDefault="00706DA5" w:rsidP="00454E8E">
      <w:pPr>
        <w:spacing w:after="120" w:line="360" w:lineRule="auto"/>
        <w:jc w:val="both"/>
        <w:rPr>
          <w:b/>
        </w:rPr>
      </w:pPr>
      <w:r w:rsidRPr="002D5927">
        <w:rPr>
          <w:b/>
        </w:rPr>
        <w:t>Materiales y métodos.</w:t>
      </w:r>
    </w:p>
    <w:p w14:paraId="3372DE8E" w14:textId="77777777" w:rsidR="007F22F1" w:rsidRPr="002D5927" w:rsidRDefault="007F22F1" w:rsidP="00454E8E">
      <w:pPr>
        <w:spacing w:after="120" w:line="360" w:lineRule="auto"/>
        <w:jc w:val="both"/>
      </w:pPr>
      <w:r w:rsidRPr="002D5927">
        <w:t xml:space="preserve">El experimento </w:t>
      </w:r>
      <w:r w:rsidR="000925E1" w:rsidRPr="002D5927">
        <w:t>se realizó</w:t>
      </w:r>
      <w:r w:rsidRPr="002D5927">
        <w:t xml:space="preserve"> en el Consejo Popular Frank País, Contramaestre, Santiago de Cuba del movimiento de agricultura urbana, suburbana y familiar, sobre un suelo pardo con carbonato (Hernández </w:t>
      </w:r>
      <w:r w:rsidRPr="002D5927">
        <w:rPr>
          <w:i/>
        </w:rPr>
        <w:t>et al.,</w:t>
      </w:r>
      <w:r w:rsidRPr="002D5927">
        <w:t xml:space="preserve"> 2015), cuyas características se muestran en la tabla1. </w:t>
      </w:r>
    </w:p>
    <w:p w14:paraId="58D0C267" w14:textId="134EC2B4" w:rsidR="007F22F1" w:rsidRPr="002D5927" w:rsidRDefault="007F22F1" w:rsidP="00454E8E">
      <w:pPr>
        <w:spacing w:after="120" w:line="360" w:lineRule="auto"/>
        <w:jc w:val="both"/>
      </w:pPr>
      <w:r w:rsidRPr="002D5927">
        <w:t>Las variables climáticas fueron tomadas de la estación Agrometeorológica Contramaestre, Santiago de Cuba</w:t>
      </w:r>
      <w:r w:rsidR="00AE0C06">
        <w:t>, de donde</w:t>
      </w:r>
      <w:r w:rsidRPr="002D5927">
        <w:t xml:space="preserve"> se recogió el comportamiento de la temperatura promedio (24-26 </w:t>
      </w:r>
      <w:r w:rsidRPr="002D5927">
        <w:rPr>
          <w:vertAlign w:val="superscript"/>
        </w:rPr>
        <w:t>0</w:t>
      </w:r>
      <w:r w:rsidRPr="002D5927">
        <w:t xml:space="preserve">C) y las precipitaciones (mm), que fueron </w:t>
      </w:r>
      <w:proofErr w:type="gramStart"/>
      <w:r w:rsidRPr="002D5927">
        <w:t>pocas</w:t>
      </w:r>
      <w:proofErr w:type="gramEnd"/>
      <w:r w:rsidRPr="002D5927">
        <w:t xml:space="preserve"> pero fueron suplidas por el riego adecuado. </w:t>
      </w:r>
      <w:r w:rsidR="009975CD">
        <w:t>Las condiciones climáticas fueron favorables</w:t>
      </w:r>
      <w:r w:rsidRPr="002D5927">
        <w:t xml:space="preserve"> para el cultivo de la soya en el territorio, ya que se comporta como un periodo de excelente temperatura para el cultivo y como un periodo seco de acuerdo a las exigencias climáticas de este cultivo.</w:t>
      </w:r>
    </w:p>
    <w:p w14:paraId="5BBEDAEF" w14:textId="155CEA0C" w:rsidR="007F22F1" w:rsidRPr="002D5927" w:rsidRDefault="007F22F1" w:rsidP="00454E8E">
      <w:pPr>
        <w:spacing w:after="120" w:line="360" w:lineRule="auto"/>
        <w:jc w:val="both"/>
      </w:pPr>
      <w:r w:rsidRPr="002D5927">
        <w:lastRenderedPageBreak/>
        <w:t xml:space="preserve">Se empleó el diseño de bloques al azar con cuatro repeticiones e igual número de tratamientos. El análisis estadístico utilizado fue el análisis de varianza de clasificación </w:t>
      </w:r>
      <w:r w:rsidR="000925E1" w:rsidRPr="002D5927">
        <w:t>doble</w:t>
      </w:r>
      <w:r w:rsidRPr="002D5927">
        <w:t xml:space="preserve"> y cuando existi</w:t>
      </w:r>
      <w:r w:rsidR="00AE0C06">
        <w:t>eron</w:t>
      </w:r>
      <w:r w:rsidRPr="002D5927">
        <w:t xml:space="preserve"> diferencias significativas entre los tratamientos se aplicó una prueba de comparación múltiple de media por Duncan para un nivel de significación del 5% de probabilidad del error.</w:t>
      </w:r>
    </w:p>
    <w:p w14:paraId="43E1E3C8" w14:textId="77777777" w:rsidR="007F22F1" w:rsidRPr="002D5927" w:rsidRDefault="007F22F1" w:rsidP="00454E8E">
      <w:pPr>
        <w:spacing w:after="120" w:line="360" w:lineRule="auto"/>
        <w:jc w:val="both"/>
      </w:pPr>
      <w:r w:rsidRPr="002D5927">
        <w:t>El área experimental fue 32,5 m</w:t>
      </w:r>
      <w:r w:rsidRPr="002D5927">
        <w:rPr>
          <w:vertAlign w:val="superscript"/>
        </w:rPr>
        <w:t>2</w:t>
      </w:r>
      <w:r w:rsidRPr="002D5927">
        <w:t xml:space="preserve">, sembrándose tres hileras con </w:t>
      </w:r>
      <w:r w:rsidR="004C2841" w:rsidRPr="002D5927">
        <w:t>30</w:t>
      </w:r>
      <w:r w:rsidRPr="002D5927">
        <w:t xml:space="preserve"> plantas en cada una, de las parcelas, empleándose la variedad de soya “INCASOY-2”, con una pureza genética de 97% y germinación de un 95 %, con un marco de siembra 0.70m entre hileras y 0,05m entre plantas.</w:t>
      </w:r>
    </w:p>
    <w:p w14:paraId="4BEC4B25" w14:textId="77777777" w:rsidR="007F22F1" w:rsidRPr="002D5927" w:rsidRDefault="007F22F1" w:rsidP="00454E8E">
      <w:pPr>
        <w:spacing w:after="120" w:line="360" w:lineRule="auto"/>
        <w:jc w:val="both"/>
      </w:pPr>
      <w:r w:rsidRPr="002D5927">
        <w:t xml:space="preserve">Para realizar las mediciones se marcaron las </w:t>
      </w:r>
      <w:r w:rsidR="004C2841" w:rsidRPr="002D5927">
        <w:t>10</w:t>
      </w:r>
      <w:r w:rsidRPr="002D5927">
        <w:t xml:space="preserve"> plantas centrales de cada tratamiento en cada réplica, las mismas formaban parte de la hilera central </w:t>
      </w:r>
    </w:p>
    <w:p w14:paraId="430B9BF7" w14:textId="77777777" w:rsidR="007F22F1" w:rsidRPr="002D5927" w:rsidRDefault="007F22F1" w:rsidP="00454E8E">
      <w:pPr>
        <w:spacing w:after="120" w:line="360" w:lineRule="auto"/>
        <w:jc w:val="both"/>
      </w:pPr>
      <w:r w:rsidRPr="002D5927">
        <w:t>Se establecieron cuatro tratamientos que consistieron en:</w:t>
      </w:r>
    </w:p>
    <w:p w14:paraId="2F6B1E2F" w14:textId="77777777" w:rsidR="007F22F1" w:rsidRPr="002D5927" w:rsidRDefault="00D760E6" w:rsidP="00AE0C06">
      <w:pPr>
        <w:numPr>
          <w:ilvl w:val="0"/>
          <w:numId w:val="6"/>
        </w:numPr>
        <w:spacing w:after="120" w:line="360" w:lineRule="auto"/>
        <w:ind w:left="284" w:hanging="284"/>
        <w:contextualSpacing/>
        <w:jc w:val="both"/>
      </w:pPr>
      <w:r w:rsidRPr="002D5927">
        <w:t xml:space="preserve">T-1; </w:t>
      </w:r>
      <w:r w:rsidR="007F22F1" w:rsidRPr="002D5927">
        <w:t xml:space="preserve">Control (sin aplicación de </w:t>
      </w:r>
      <w:proofErr w:type="spellStart"/>
      <w:r w:rsidR="007F22F1" w:rsidRPr="002D5927">
        <w:t>bioinsumos</w:t>
      </w:r>
      <w:proofErr w:type="spellEnd"/>
      <w:r w:rsidR="007F22F1" w:rsidRPr="002D5927">
        <w:t>).</w:t>
      </w:r>
    </w:p>
    <w:p w14:paraId="3B71C78B" w14:textId="77777777" w:rsidR="007F22F1" w:rsidRPr="002D5927" w:rsidRDefault="00D760E6" w:rsidP="00AE0C06">
      <w:pPr>
        <w:numPr>
          <w:ilvl w:val="0"/>
          <w:numId w:val="6"/>
        </w:numPr>
        <w:spacing w:after="120" w:line="360" w:lineRule="auto"/>
        <w:ind w:left="284" w:hanging="284"/>
        <w:contextualSpacing/>
        <w:jc w:val="both"/>
      </w:pPr>
      <w:r w:rsidRPr="002D5927">
        <w:t xml:space="preserve">T2: </w:t>
      </w:r>
      <w:r w:rsidR="007F22F1" w:rsidRPr="002D5927">
        <w:t xml:space="preserve">Las semillas se embebieron en una solución de 500 ml de </w:t>
      </w:r>
      <w:proofErr w:type="spellStart"/>
      <w:r w:rsidR="005D1D06" w:rsidRPr="002D5927">
        <w:t>Azofer</w:t>
      </w:r>
      <w:proofErr w:type="spellEnd"/>
      <w:r w:rsidR="005D1D06" w:rsidRPr="002D5927">
        <w:t>-S®</w:t>
      </w:r>
      <w:r w:rsidR="007F22F1" w:rsidRPr="002D5927">
        <w:t xml:space="preserve"> en 1L de agua por 4 horas y se dejaron airear antes de sembrar.</w:t>
      </w:r>
    </w:p>
    <w:p w14:paraId="1700EA81" w14:textId="77777777" w:rsidR="007F22F1" w:rsidRPr="002D5927" w:rsidRDefault="00D760E6" w:rsidP="00AE0C06">
      <w:pPr>
        <w:numPr>
          <w:ilvl w:val="0"/>
          <w:numId w:val="6"/>
        </w:numPr>
        <w:spacing w:after="120" w:line="360" w:lineRule="auto"/>
        <w:ind w:left="284" w:hanging="284"/>
        <w:contextualSpacing/>
        <w:jc w:val="both"/>
      </w:pPr>
      <w:r w:rsidRPr="002D5927">
        <w:t xml:space="preserve">T3; </w:t>
      </w:r>
      <w:r w:rsidR="007F22F1" w:rsidRPr="002D5927">
        <w:t xml:space="preserve">Se embebieron las semillas en una solución de 50 ml de </w:t>
      </w:r>
      <w:proofErr w:type="spellStart"/>
      <w:r w:rsidR="00D06691" w:rsidRPr="002D5927">
        <w:t>QuitoMax</w:t>
      </w:r>
      <w:proofErr w:type="spellEnd"/>
      <w:r w:rsidR="007F22F1" w:rsidRPr="002D5927">
        <w:t>® en 250 ml de agua por 4 horas y se dejaron airear antes de sembrar.</w:t>
      </w:r>
    </w:p>
    <w:p w14:paraId="19310386" w14:textId="77777777" w:rsidR="007F22F1" w:rsidRPr="002D5927" w:rsidRDefault="00D760E6" w:rsidP="00AE0C06">
      <w:pPr>
        <w:numPr>
          <w:ilvl w:val="0"/>
          <w:numId w:val="6"/>
        </w:numPr>
        <w:spacing w:after="120" w:line="360" w:lineRule="auto"/>
        <w:ind w:left="284" w:hanging="284"/>
        <w:contextualSpacing/>
        <w:jc w:val="both"/>
      </w:pPr>
      <w:r w:rsidRPr="002D5927">
        <w:t xml:space="preserve">T4; </w:t>
      </w:r>
      <w:r w:rsidR="007F22F1" w:rsidRPr="002D5927">
        <w:t xml:space="preserve">Se embebieron las semillas en la solución descrita de </w:t>
      </w:r>
      <w:proofErr w:type="spellStart"/>
      <w:r w:rsidR="00D06691" w:rsidRPr="002D5927">
        <w:t>QuitoMax</w:t>
      </w:r>
      <w:proofErr w:type="spellEnd"/>
      <w:r w:rsidR="007F22F1" w:rsidRPr="002D5927">
        <w:t xml:space="preserve">® en por 4 horas, se dejaron airear y luego se asperjó la solución antes mencionada de </w:t>
      </w:r>
      <w:proofErr w:type="spellStart"/>
      <w:r w:rsidR="005D1D06" w:rsidRPr="002D5927">
        <w:t>Azofer</w:t>
      </w:r>
      <w:proofErr w:type="spellEnd"/>
      <w:r w:rsidR="005D1D06" w:rsidRPr="002D5927">
        <w:t>-S®</w:t>
      </w:r>
      <w:r w:rsidR="007F22F1" w:rsidRPr="002D5927">
        <w:t>.</w:t>
      </w:r>
    </w:p>
    <w:p w14:paraId="0860E90D" w14:textId="77777777" w:rsidR="007F22F1" w:rsidRPr="002D5927" w:rsidRDefault="007F22F1" w:rsidP="00AE0C06">
      <w:pPr>
        <w:spacing w:after="120" w:line="360" w:lineRule="auto"/>
        <w:jc w:val="both"/>
      </w:pPr>
      <w:r w:rsidRPr="002D5927">
        <w:t>Cuando los frutos alcanzaron el momento óptimo para ser cosechados se realizaron las siguientes evaluaciones.</w:t>
      </w:r>
    </w:p>
    <w:p w14:paraId="08D94223" w14:textId="76041258" w:rsidR="007F22F1" w:rsidRPr="002D5927" w:rsidRDefault="007F22F1" w:rsidP="00AE0C06">
      <w:pPr>
        <w:numPr>
          <w:ilvl w:val="0"/>
          <w:numId w:val="7"/>
        </w:numPr>
        <w:spacing w:after="120" w:line="360" w:lineRule="auto"/>
        <w:ind w:left="284" w:hanging="284"/>
        <w:contextualSpacing/>
        <w:jc w:val="both"/>
      </w:pPr>
      <w:r w:rsidRPr="002D5927">
        <w:t>Número de vainas promedio por planta</w:t>
      </w:r>
      <w:r w:rsidR="00AE0C06">
        <w:t>. S</w:t>
      </w:r>
      <w:r w:rsidRPr="002D5927">
        <w:t>e contaron por cada planta seleccionada y luego se promediaron.</w:t>
      </w:r>
    </w:p>
    <w:p w14:paraId="11CAE4DA" w14:textId="77777777" w:rsidR="007F22F1" w:rsidRPr="002D5927" w:rsidRDefault="007F22F1" w:rsidP="00AE0C06">
      <w:pPr>
        <w:numPr>
          <w:ilvl w:val="0"/>
          <w:numId w:val="7"/>
        </w:numPr>
        <w:spacing w:after="120" w:line="360" w:lineRule="auto"/>
        <w:ind w:left="284" w:hanging="284"/>
        <w:contextualSpacing/>
        <w:jc w:val="both"/>
      </w:pPr>
      <w:r w:rsidRPr="002D5927">
        <w:t>Número de granos promedio por planta. Se contaron por cada planta seleccionada y luego se promediaron.</w:t>
      </w:r>
    </w:p>
    <w:p w14:paraId="2FBA3226" w14:textId="1540AE1C" w:rsidR="007F22F1" w:rsidRPr="002D5927" w:rsidRDefault="007F22F1" w:rsidP="00AE0C06">
      <w:pPr>
        <w:numPr>
          <w:ilvl w:val="0"/>
          <w:numId w:val="7"/>
        </w:numPr>
        <w:spacing w:after="120" w:line="360" w:lineRule="auto"/>
        <w:ind w:left="284" w:hanging="284"/>
        <w:contextualSpacing/>
        <w:jc w:val="both"/>
      </w:pPr>
      <w:r w:rsidRPr="002D5927">
        <w:t>Peso promedio de 100 granos (g). Se pesaron en una balanza analítica</w:t>
      </w:r>
      <w:r w:rsidR="00AE0C06">
        <w:t xml:space="preserve"> </w:t>
      </w:r>
      <w:r w:rsidRPr="002D5927">
        <w:t>100 granos de cada tratamiento.</w:t>
      </w:r>
    </w:p>
    <w:p w14:paraId="1522A310" w14:textId="77777777" w:rsidR="007F22F1" w:rsidRPr="002D5927" w:rsidRDefault="00052CBA" w:rsidP="00AE0C06">
      <w:pPr>
        <w:numPr>
          <w:ilvl w:val="0"/>
          <w:numId w:val="7"/>
        </w:numPr>
        <w:spacing w:after="120" w:line="360" w:lineRule="auto"/>
        <w:ind w:left="284" w:hanging="284"/>
        <w:contextualSpacing/>
        <w:jc w:val="both"/>
      </w:pPr>
      <w:r w:rsidRPr="002D5927">
        <w:t xml:space="preserve">Rendimiento obtenido (t </w:t>
      </w:r>
      <w:r w:rsidR="007F22F1" w:rsidRPr="002D5927">
        <w:t>ha</w:t>
      </w:r>
      <w:r w:rsidR="007F22F1" w:rsidRPr="002D5927">
        <w:rPr>
          <w:vertAlign w:val="superscript"/>
        </w:rPr>
        <w:t>-1</w:t>
      </w:r>
      <w:r w:rsidR="007F22F1" w:rsidRPr="002D5927">
        <w:t>). Se determinó en base a los componentes del rendimiento, numero de granos promedio por planta, peso de 100 semillas y número de plantas por área y se ponderó para una hectárea.</w:t>
      </w:r>
    </w:p>
    <w:p w14:paraId="6CD66CAF" w14:textId="77777777" w:rsidR="007F22F1" w:rsidRPr="002D5927" w:rsidRDefault="003F0CE0" w:rsidP="00AE0C06">
      <w:pPr>
        <w:numPr>
          <w:ilvl w:val="0"/>
          <w:numId w:val="7"/>
        </w:numPr>
        <w:spacing w:after="120" w:line="360" w:lineRule="auto"/>
        <w:ind w:left="284" w:hanging="284"/>
        <w:contextualSpacing/>
        <w:jc w:val="both"/>
      </w:pPr>
      <w:r w:rsidRPr="002D5927">
        <w:lastRenderedPageBreak/>
        <w:t>Breve v</w:t>
      </w:r>
      <w:r w:rsidR="007F22F1" w:rsidRPr="002D5927">
        <w:t>aloración económica. Se determinaron diferentes variables como, ingresos, ganancias y el efecto económico calculados partiendo de los rendimientos ponderados.</w:t>
      </w:r>
    </w:p>
    <w:p w14:paraId="79146789" w14:textId="77777777" w:rsidR="007F22F1" w:rsidRPr="002D5927" w:rsidRDefault="007F22F1" w:rsidP="00AE0C06">
      <w:pPr>
        <w:pStyle w:val="Prrafodelista"/>
        <w:numPr>
          <w:ilvl w:val="0"/>
          <w:numId w:val="7"/>
        </w:numPr>
        <w:spacing w:after="120" w:line="360" w:lineRule="auto"/>
        <w:ind w:left="284" w:hanging="284"/>
        <w:jc w:val="both"/>
      </w:pPr>
      <w:r w:rsidRPr="002D5927">
        <w:t>Las características del suelo Pardo con carbonato empleado se recogen en la tabla 1.</w:t>
      </w:r>
    </w:p>
    <w:tbl>
      <w:tblPr>
        <w:tblW w:w="9304"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854"/>
        <w:gridCol w:w="708"/>
        <w:gridCol w:w="1276"/>
        <w:gridCol w:w="1276"/>
        <w:gridCol w:w="709"/>
        <w:gridCol w:w="640"/>
        <w:gridCol w:w="635"/>
        <w:gridCol w:w="608"/>
        <w:gridCol w:w="668"/>
        <w:gridCol w:w="1276"/>
      </w:tblGrid>
      <w:tr w:rsidR="002D5927" w:rsidRPr="002D5927" w14:paraId="141A2659" w14:textId="77777777" w:rsidTr="003E21BE">
        <w:trPr>
          <w:trHeight w:val="553"/>
        </w:trPr>
        <w:tc>
          <w:tcPr>
            <w:tcW w:w="654" w:type="dxa"/>
            <w:vMerge w:val="restart"/>
          </w:tcPr>
          <w:p w14:paraId="1ED4FD9D" w14:textId="77777777" w:rsidR="007F22F1" w:rsidRPr="002D5927" w:rsidRDefault="007F22F1" w:rsidP="00454E8E">
            <w:pPr>
              <w:spacing w:after="120" w:line="360" w:lineRule="auto"/>
              <w:jc w:val="both"/>
            </w:pPr>
            <w:r w:rsidRPr="002D5927">
              <w:t>Prof.</w:t>
            </w:r>
          </w:p>
          <w:p w14:paraId="6C1239D6" w14:textId="77777777" w:rsidR="007F22F1" w:rsidRPr="002D5927" w:rsidRDefault="007F22F1" w:rsidP="00454E8E">
            <w:pPr>
              <w:spacing w:after="120" w:line="360" w:lineRule="auto"/>
              <w:jc w:val="both"/>
            </w:pPr>
            <w:r w:rsidRPr="002D5927">
              <w:t>(cm)</w:t>
            </w:r>
          </w:p>
        </w:tc>
        <w:tc>
          <w:tcPr>
            <w:tcW w:w="854" w:type="dxa"/>
            <w:vMerge w:val="restart"/>
          </w:tcPr>
          <w:p w14:paraId="1241C3BA" w14:textId="77777777" w:rsidR="007F22F1" w:rsidRPr="002D5927" w:rsidRDefault="007F22F1" w:rsidP="00454E8E">
            <w:pPr>
              <w:spacing w:after="120" w:line="360" w:lineRule="auto"/>
              <w:jc w:val="both"/>
            </w:pPr>
            <w:r w:rsidRPr="002D5927">
              <w:t>pH en H</w:t>
            </w:r>
            <w:r w:rsidRPr="002D5927">
              <w:rPr>
                <w:vertAlign w:val="subscript"/>
              </w:rPr>
              <w:t>2</w:t>
            </w:r>
            <w:r w:rsidRPr="002D5927">
              <w:t>O</w:t>
            </w:r>
          </w:p>
        </w:tc>
        <w:tc>
          <w:tcPr>
            <w:tcW w:w="708" w:type="dxa"/>
            <w:vMerge w:val="restart"/>
          </w:tcPr>
          <w:p w14:paraId="7FFE6925" w14:textId="77777777" w:rsidR="007F22F1" w:rsidRPr="002D5927" w:rsidRDefault="007F22F1" w:rsidP="00454E8E">
            <w:pPr>
              <w:spacing w:after="120" w:line="360" w:lineRule="auto"/>
              <w:jc w:val="both"/>
            </w:pPr>
            <w:r w:rsidRPr="002D5927">
              <w:t>M.O</w:t>
            </w:r>
          </w:p>
          <w:p w14:paraId="5E14A195" w14:textId="77777777" w:rsidR="007F22F1" w:rsidRPr="002D5927" w:rsidRDefault="007F22F1" w:rsidP="00454E8E">
            <w:pPr>
              <w:spacing w:after="120" w:line="360" w:lineRule="auto"/>
              <w:jc w:val="both"/>
            </w:pPr>
            <w:r w:rsidRPr="002D5927">
              <w:t>(%)</w:t>
            </w:r>
          </w:p>
        </w:tc>
        <w:tc>
          <w:tcPr>
            <w:tcW w:w="1276" w:type="dxa"/>
            <w:vMerge w:val="restart"/>
          </w:tcPr>
          <w:p w14:paraId="5887B5C2" w14:textId="77777777" w:rsidR="007F22F1" w:rsidRPr="002D5927" w:rsidRDefault="007F22F1" w:rsidP="00454E8E">
            <w:pPr>
              <w:spacing w:after="120" w:line="360" w:lineRule="auto"/>
              <w:jc w:val="both"/>
            </w:pPr>
            <w:r w:rsidRPr="002D5927">
              <w:t>P</w:t>
            </w:r>
            <w:r w:rsidRPr="002D5927">
              <w:rPr>
                <w:vertAlign w:val="subscript"/>
              </w:rPr>
              <w:t>2</w:t>
            </w:r>
            <w:r w:rsidRPr="002D5927">
              <w:t>O</w:t>
            </w:r>
            <w:r w:rsidRPr="002D5927">
              <w:rPr>
                <w:vertAlign w:val="subscript"/>
              </w:rPr>
              <w:t>5</w:t>
            </w:r>
          </w:p>
          <w:p w14:paraId="6954AB24" w14:textId="77777777" w:rsidR="007F22F1" w:rsidRPr="002D5927" w:rsidRDefault="007F22F1" w:rsidP="00454E8E">
            <w:pPr>
              <w:spacing w:after="120" w:line="360" w:lineRule="auto"/>
              <w:jc w:val="both"/>
            </w:pPr>
            <w:r w:rsidRPr="002D5927">
              <w:t>(mg/100g)</w:t>
            </w:r>
          </w:p>
        </w:tc>
        <w:tc>
          <w:tcPr>
            <w:tcW w:w="1276" w:type="dxa"/>
            <w:vMerge w:val="restart"/>
          </w:tcPr>
          <w:p w14:paraId="703671D8" w14:textId="77777777" w:rsidR="007F22F1" w:rsidRPr="002D5927" w:rsidRDefault="007F22F1" w:rsidP="00454E8E">
            <w:pPr>
              <w:spacing w:after="120" w:line="360" w:lineRule="auto"/>
              <w:jc w:val="both"/>
            </w:pPr>
            <w:r w:rsidRPr="002D5927">
              <w:t>K</w:t>
            </w:r>
            <w:r w:rsidRPr="002D5927">
              <w:rPr>
                <w:vertAlign w:val="subscript"/>
              </w:rPr>
              <w:t>2</w:t>
            </w:r>
            <w:r w:rsidRPr="002D5927">
              <w:t>O</w:t>
            </w:r>
          </w:p>
          <w:p w14:paraId="73BA6FA4" w14:textId="77777777" w:rsidR="007F22F1" w:rsidRPr="002D5927" w:rsidRDefault="007F22F1" w:rsidP="00454E8E">
            <w:pPr>
              <w:spacing w:after="120" w:line="360" w:lineRule="auto"/>
              <w:jc w:val="both"/>
            </w:pPr>
            <w:r w:rsidRPr="002D5927">
              <w:t>(mg/100g)</w:t>
            </w:r>
          </w:p>
        </w:tc>
        <w:tc>
          <w:tcPr>
            <w:tcW w:w="3260" w:type="dxa"/>
            <w:gridSpan w:val="5"/>
          </w:tcPr>
          <w:p w14:paraId="5259D04D" w14:textId="77777777" w:rsidR="007F22F1" w:rsidRPr="002D5927" w:rsidRDefault="007F22F1" w:rsidP="00454E8E">
            <w:pPr>
              <w:spacing w:after="120" w:line="360" w:lineRule="auto"/>
              <w:jc w:val="both"/>
            </w:pPr>
            <w:r w:rsidRPr="002D5927">
              <w:t>Cationes Intercambiables</w:t>
            </w:r>
          </w:p>
          <w:p w14:paraId="5A98FF33" w14:textId="77777777" w:rsidR="007F22F1" w:rsidRPr="002D5927" w:rsidRDefault="007F22F1" w:rsidP="00454E8E">
            <w:pPr>
              <w:spacing w:after="120" w:line="360" w:lineRule="auto"/>
              <w:jc w:val="both"/>
            </w:pPr>
          </w:p>
        </w:tc>
        <w:tc>
          <w:tcPr>
            <w:tcW w:w="1276" w:type="dxa"/>
            <w:vMerge w:val="restart"/>
          </w:tcPr>
          <w:p w14:paraId="3A833094" w14:textId="77777777" w:rsidR="007F22F1" w:rsidRPr="002D5927" w:rsidRDefault="007F22F1" w:rsidP="00454E8E">
            <w:pPr>
              <w:spacing w:after="120" w:line="360" w:lineRule="auto"/>
              <w:jc w:val="both"/>
            </w:pPr>
            <w:r w:rsidRPr="002D5927">
              <w:t>Capacidad</w:t>
            </w:r>
          </w:p>
          <w:p w14:paraId="55EB6A91" w14:textId="77777777" w:rsidR="007F22F1" w:rsidRPr="002D5927" w:rsidRDefault="007F22F1" w:rsidP="00454E8E">
            <w:pPr>
              <w:spacing w:after="120" w:line="360" w:lineRule="auto"/>
              <w:jc w:val="both"/>
            </w:pPr>
            <w:r w:rsidRPr="002D5927">
              <w:t>de cambio</w:t>
            </w:r>
          </w:p>
          <w:p w14:paraId="43641D7C" w14:textId="77777777" w:rsidR="007F22F1" w:rsidRPr="002D5927" w:rsidRDefault="007F22F1" w:rsidP="00454E8E">
            <w:pPr>
              <w:spacing w:after="120" w:line="360" w:lineRule="auto"/>
              <w:jc w:val="both"/>
            </w:pPr>
            <w:r w:rsidRPr="002D5927">
              <w:t>de base</w:t>
            </w:r>
          </w:p>
          <w:p w14:paraId="72CBEB98" w14:textId="77777777" w:rsidR="007F22F1" w:rsidRPr="002D5927" w:rsidRDefault="007F22F1" w:rsidP="00454E8E">
            <w:pPr>
              <w:spacing w:after="120" w:line="360" w:lineRule="auto"/>
              <w:ind w:hanging="56"/>
              <w:jc w:val="both"/>
            </w:pPr>
            <w:r w:rsidRPr="002D5927">
              <w:t>(cmol.kg</w:t>
            </w:r>
            <w:r w:rsidRPr="002D5927">
              <w:rPr>
                <w:vertAlign w:val="superscript"/>
              </w:rPr>
              <w:t>-1</w:t>
            </w:r>
            <w:r w:rsidRPr="002D5927">
              <w:t>)</w:t>
            </w:r>
          </w:p>
        </w:tc>
      </w:tr>
      <w:tr w:rsidR="002D5927" w:rsidRPr="002D5927" w14:paraId="2C8CB8D6" w14:textId="77777777" w:rsidTr="003E21BE">
        <w:trPr>
          <w:trHeight w:val="780"/>
        </w:trPr>
        <w:tc>
          <w:tcPr>
            <w:tcW w:w="654" w:type="dxa"/>
            <w:vMerge/>
          </w:tcPr>
          <w:p w14:paraId="4A3DEF2F" w14:textId="77777777" w:rsidR="007F22F1" w:rsidRPr="002D5927" w:rsidRDefault="007F22F1" w:rsidP="00454E8E">
            <w:pPr>
              <w:spacing w:after="120" w:line="360" w:lineRule="auto"/>
              <w:jc w:val="both"/>
            </w:pPr>
          </w:p>
        </w:tc>
        <w:tc>
          <w:tcPr>
            <w:tcW w:w="854" w:type="dxa"/>
            <w:vMerge/>
          </w:tcPr>
          <w:p w14:paraId="450DC985" w14:textId="77777777" w:rsidR="007F22F1" w:rsidRPr="002D5927" w:rsidRDefault="007F22F1" w:rsidP="00454E8E">
            <w:pPr>
              <w:spacing w:after="120" w:line="360" w:lineRule="auto"/>
              <w:jc w:val="both"/>
            </w:pPr>
          </w:p>
        </w:tc>
        <w:tc>
          <w:tcPr>
            <w:tcW w:w="708" w:type="dxa"/>
            <w:vMerge/>
          </w:tcPr>
          <w:p w14:paraId="3CF8DF4A" w14:textId="77777777" w:rsidR="007F22F1" w:rsidRPr="002D5927" w:rsidRDefault="007F22F1" w:rsidP="00454E8E">
            <w:pPr>
              <w:spacing w:after="120" w:line="360" w:lineRule="auto"/>
              <w:jc w:val="both"/>
            </w:pPr>
          </w:p>
        </w:tc>
        <w:tc>
          <w:tcPr>
            <w:tcW w:w="1276" w:type="dxa"/>
            <w:vMerge/>
          </w:tcPr>
          <w:p w14:paraId="329AE9E8" w14:textId="77777777" w:rsidR="007F22F1" w:rsidRPr="002D5927" w:rsidRDefault="007F22F1" w:rsidP="00454E8E">
            <w:pPr>
              <w:spacing w:after="120" w:line="360" w:lineRule="auto"/>
              <w:jc w:val="both"/>
            </w:pPr>
          </w:p>
        </w:tc>
        <w:tc>
          <w:tcPr>
            <w:tcW w:w="1276" w:type="dxa"/>
            <w:vMerge/>
          </w:tcPr>
          <w:p w14:paraId="7C0C42D1" w14:textId="77777777" w:rsidR="007F22F1" w:rsidRPr="002D5927" w:rsidRDefault="007F22F1" w:rsidP="00454E8E">
            <w:pPr>
              <w:spacing w:after="120" w:line="360" w:lineRule="auto"/>
              <w:jc w:val="both"/>
            </w:pPr>
          </w:p>
        </w:tc>
        <w:tc>
          <w:tcPr>
            <w:tcW w:w="709" w:type="dxa"/>
          </w:tcPr>
          <w:p w14:paraId="7D6C4E73" w14:textId="77777777" w:rsidR="007F22F1" w:rsidRPr="002D5927" w:rsidRDefault="007F22F1" w:rsidP="00454E8E">
            <w:pPr>
              <w:spacing w:after="120" w:line="360" w:lineRule="auto"/>
              <w:jc w:val="both"/>
            </w:pPr>
            <w:proofErr w:type="spellStart"/>
            <w:r w:rsidRPr="002D5927">
              <w:t>Na</w:t>
            </w:r>
            <w:proofErr w:type="spellEnd"/>
          </w:p>
        </w:tc>
        <w:tc>
          <w:tcPr>
            <w:tcW w:w="640" w:type="dxa"/>
          </w:tcPr>
          <w:p w14:paraId="3F0A7BCD" w14:textId="77777777" w:rsidR="007F22F1" w:rsidRPr="002D5927" w:rsidRDefault="007F22F1" w:rsidP="00454E8E">
            <w:pPr>
              <w:spacing w:after="120" w:line="360" w:lineRule="auto"/>
              <w:ind w:hanging="56"/>
              <w:jc w:val="both"/>
            </w:pPr>
            <w:r w:rsidRPr="002D5927">
              <w:t>K</w:t>
            </w:r>
          </w:p>
        </w:tc>
        <w:tc>
          <w:tcPr>
            <w:tcW w:w="635" w:type="dxa"/>
          </w:tcPr>
          <w:p w14:paraId="103C4237" w14:textId="77777777" w:rsidR="007F22F1" w:rsidRPr="002D5927" w:rsidRDefault="007F22F1" w:rsidP="00454E8E">
            <w:pPr>
              <w:spacing w:after="120" w:line="360" w:lineRule="auto"/>
              <w:jc w:val="both"/>
            </w:pPr>
            <w:r w:rsidRPr="002D5927">
              <w:t>Mg</w:t>
            </w:r>
          </w:p>
        </w:tc>
        <w:tc>
          <w:tcPr>
            <w:tcW w:w="608" w:type="dxa"/>
          </w:tcPr>
          <w:p w14:paraId="72C4EA2E" w14:textId="77777777" w:rsidR="007F22F1" w:rsidRPr="002D5927" w:rsidRDefault="007F22F1" w:rsidP="00454E8E">
            <w:pPr>
              <w:spacing w:after="120" w:line="360" w:lineRule="auto"/>
              <w:jc w:val="both"/>
            </w:pPr>
            <w:r w:rsidRPr="002D5927">
              <w:t>Ca</w:t>
            </w:r>
          </w:p>
        </w:tc>
        <w:tc>
          <w:tcPr>
            <w:tcW w:w="668" w:type="dxa"/>
          </w:tcPr>
          <w:p w14:paraId="0758DB61" w14:textId="77777777" w:rsidR="007F22F1" w:rsidRPr="002D5927" w:rsidRDefault="007F22F1" w:rsidP="00454E8E">
            <w:pPr>
              <w:spacing w:after="120" w:line="360" w:lineRule="auto"/>
              <w:jc w:val="both"/>
            </w:pPr>
            <w:r w:rsidRPr="002D5927">
              <w:t>SST</w:t>
            </w:r>
          </w:p>
          <w:p w14:paraId="76E4C4AB" w14:textId="77777777" w:rsidR="007F22F1" w:rsidRPr="002D5927" w:rsidRDefault="007F22F1" w:rsidP="00454E8E">
            <w:pPr>
              <w:spacing w:after="120" w:line="360" w:lineRule="auto"/>
              <w:jc w:val="both"/>
            </w:pPr>
            <w:r w:rsidRPr="002D5927">
              <w:t>(%)</w:t>
            </w:r>
          </w:p>
        </w:tc>
        <w:tc>
          <w:tcPr>
            <w:tcW w:w="1276" w:type="dxa"/>
            <w:vMerge/>
          </w:tcPr>
          <w:p w14:paraId="4159C94F" w14:textId="77777777" w:rsidR="007F22F1" w:rsidRPr="002D5927" w:rsidRDefault="007F22F1" w:rsidP="00454E8E">
            <w:pPr>
              <w:spacing w:after="120" w:line="360" w:lineRule="auto"/>
              <w:ind w:hanging="55"/>
              <w:jc w:val="both"/>
            </w:pPr>
          </w:p>
        </w:tc>
      </w:tr>
      <w:tr w:rsidR="002D5927" w:rsidRPr="002D5927" w14:paraId="4815B209" w14:textId="77777777" w:rsidTr="003E21BE">
        <w:trPr>
          <w:trHeight w:val="525"/>
        </w:trPr>
        <w:tc>
          <w:tcPr>
            <w:tcW w:w="654" w:type="dxa"/>
          </w:tcPr>
          <w:p w14:paraId="2D9BBB1E" w14:textId="77777777" w:rsidR="007F22F1" w:rsidRPr="002D5927" w:rsidRDefault="007F22F1" w:rsidP="00454E8E">
            <w:pPr>
              <w:spacing w:after="120" w:line="360" w:lineRule="auto"/>
              <w:jc w:val="both"/>
            </w:pPr>
            <w:r w:rsidRPr="002D5927">
              <w:t>0-60</w:t>
            </w:r>
          </w:p>
        </w:tc>
        <w:tc>
          <w:tcPr>
            <w:tcW w:w="854" w:type="dxa"/>
          </w:tcPr>
          <w:p w14:paraId="4A662B6A" w14:textId="77777777" w:rsidR="007F22F1" w:rsidRPr="002D5927" w:rsidRDefault="007F22F1" w:rsidP="00454E8E">
            <w:pPr>
              <w:spacing w:after="120" w:line="360" w:lineRule="auto"/>
              <w:jc w:val="both"/>
            </w:pPr>
            <w:r w:rsidRPr="002D5927">
              <w:t>7,53</w:t>
            </w:r>
          </w:p>
        </w:tc>
        <w:tc>
          <w:tcPr>
            <w:tcW w:w="708" w:type="dxa"/>
          </w:tcPr>
          <w:p w14:paraId="4C9C6037" w14:textId="77777777" w:rsidR="007F22F1" w:rsidRPr="002D5927" w:rsidRDefault="007F22F1" w:rsidP="00454E8E">
            <w:pPr>
              <w:spacing w:after="120" w:line="360" w:lineRule="auto"/>
              <w:jc w:val="both"/>
            </w:pPr>
            <w:r w:rsidRPr="002D5927">
              <w:t>2,70</w:t>
            </w:r>
          </w:p>
        </w:tc>
        <w:tc>
          <w:tcPr>
            <w:tcW w:w="1276" w:type="dxa"/>
          </w:tcPr>
          <w:p w14:paraId="26240E99" w14:textId="77777777" w:rsidR="007F22F1" w:rsidRPr="002D5927" w:rsidRDefault="007F22F1" w:rsidP="00454E8E">
            <w:pPr>
              <w:spacing w:after="120" w:line="360" w:lineRule="auto"/>
              <w:jc w:val="both"/>
            </w:pPr>
            <w:r w:rsidRPr="002D5927">
              <w:t>2,3</w:t>
            </w:r>
          </w:p>
        </w:tc>
        <w:tc>
          <w:tcPr>
            <w:tcW w:w="1276" w:type="dxa"/>
          </w:tcPr>
          <w:p w14:paraId="5050DDA5" w14:textId="77777777" w:rsidR="007F22F1" w:rsidRPr="002D5927" w:rsidRDefault="007F22F1" w:rsidP="00454E8E">
            <w:pPr>
              <w:spacing w:after="120" w:line="360" w:lineRule="auto"/>
              <w:jc w:val="both"/>
            </w:pPr>
            <w:r w:rsidRPr="002D5927">
              <w:t>35,2</w:t>
            </w:r>
          </w:p>
        </w:tc>
        <w:tc>
          <w:tcPr>
            <w:tcW w:w="709" w:type="dxa"/>
          </w:tcPr>
          <w:p w14:paraId="4953E985" w14:textId="77777777" w:rsidR="007F22F1" w:rsidRPr="002D5927" w:rsidRDefault="007F22F1" w:rsidP="00454E8E">
            <w:pPr>
              <w:spacing w:after="120" w:line="360" w:lineRule="auto"/>
              <w:jc w:val="both"/>
            </w:pPr>
            <w:r w:rsidRPr="002D5927">
              <w:t>3,97</w:t>
            </w:r>
          </w:p>
        </w:tc>
        <w:tc>
          <w:tcPr>
            <w:tcW w:w="640" w:type="dxa"/>
          </w:tcPr>
          <w:p w14:paraId="33326058" w14:textId="77777777" w:rsidR="007F22F1" w:rsidRPr="002D5927" w:rsidRDefault="007F22F1" w:rsidP="00454E8E">
            <w:pPr>
              <w:spacing w:after="120" w:line="360" w:lineRule="auto"/>
              <w:jc w:val="both"/>
            </w:pPr>
            <w:r w:rsidRPr="002D5927">
              <w:t>0,97</w:t>
            </w:r>
          </w:p>
        </w:tc>
        <w:tc>
          <w:tcPr>
            <w:tcW w:w="635" w:type="dxa"/>
          </w:tcPr>
          <w:p w14:paraId="2EA6DF52" w14:textId="77777777" w:rsidR="007F22F1" w:rsidRPr="002D5927" w:rsidRDefault="007F22F1" w:rsidP="00454E8E">
            <w:pPr>
              <w:spacing w:after="120" w:line="360" w:lineRule="auto"/>
              <w:jc w:val="both"/>
            </w:pPr>
            <w:r w:rsidRPr="002D5927">
              <w:t>10,7</w:t>
            </w:r>
          </w:p>
        </w:tc>
        <w:tc>
          <w:tcPr>
            <w:tcW w:w="608" w:type="dxa"/>
          </w:tcPr>
          <w:p w14:paraId="52D20DFA" w14:textId="77777777" w:rsidR="007F22F1" w:rsidRPr="002D5927" w:rsidRDefault="007F22F1" w:rsidP="00454E8E">
            <w:pPr>
              <w:spacing w:after="120" w:line="360" w:lineRule="auto"/>
              <w:jc w:val="both"/>
            </w:pPr>
            <w:r w:rsidRPr="002D5927">
              <w:t>40,8</w:t>
            </w:r>
          </w:p>
        </w:tc>
        <w:tc>
          <w:tcPr>
            <w:tcW w:w="668" w:type="dxa"/>
          </w:tcPr>
          <w:p w14:paraId="5F6F0AB5" w14:textId="77777777" w:rsidR="007F22F1" w:rsidRPr="002D5927" w:rsidRDefault="007F22F1" w:rsidP="00454E8E">
            <w:pPr>
              <w:spacing w:after="120" w:line="360" w:lineRule="auto"/>
              <w:jc w:val="both"/>
            </w:pPr>
            <w:r w:rsidRPr="002D5927">
              <w:t>0,2</w:t>
            </w:r>
          </w:p>
        </w:tc>
        <w:tc>
          <w:tcPr>
            <w:tcW w:w="1276" w:type="dxa"/>
          </w:tcPr>
          <w:p w14:paraId="41FAA842" w14:textId="77777777" w:rsidR="007F22F1" w:rsidRPr="002D5927" w:rsidRDefault="007F22F1" w:rsidP="00454E8E">
            <w:pPr>
              <w:spacing w:after="120" w:line="360" w:lineRule="auto"/>
              <w:ind w:hanging="55"/>
              <w:jc w:val="both"/>
            </w:pPr>
            <w:r w:rsidRPr="002D5927">
              <w:t>56,5</w:t>
            </w:r>
          </w:p>
        </w:tc>
      </w:tr>
    </w:tbl>
    <w:p w14:paraId="035BD6BE" w14:textId="77777777" w:rsidR="007F22F1" w:rsidRPr="00AE0C06" w:rsidRDefault="007F22F1" w:rsidP="00AE0C06">
      <w:pPr>
        <w:spacing w:after="120"/>
        <w:jc w:val="center"/>
        <w:rPr>
          <w:sz w:val="20"/>
          <w:szCs w:val="20"/>
        </w:rPr>
      </w:pPr>
      <w:r w:rsidRPr="00AE0C06">
        <w:rPr>
          <w:sz w:val="20"/>
          <w:szCs w:val="20"/>
        </w:rPr>
        <w:t>Tabla 1: Características del suelo empleado. Fuente. Laboratorio Provincial de suelos de la provincia Santiago de Cuba.</w:t>
      </w:r>
    </w:p>
    <w:p w14:paraId="7549F7D5" w14:textId="77777777" w:rsidR="00EF0E16" w:rsidRPr="002D5927" w:rsidRDefault="00BD0B9A" w:rsidP="00454E8E">
      <w:pPr>
        <w:spacing w:after="120" w:line="360" w:lineRule="auto"/>
        <w:jc w:val="both"/>
        <w:rPr>
          <w:b/>
        </w:rPr>
      </w:pPr>
      <w:r w:rsidRPr="002D5927">
        <w:rPr>
          <w:b/>
        </w:rPr>
        <w:t>Resultados y discusión</w:t>
      </w:r>
    </w:p>
    <w:p w14:paraId="6A6E6E4E" w14:textId="0409FB89" w:rsidR="00D14664" w:rsidRDefault="00EF0E16" w:rsidP="00454E8E">
      <w:pPr>
        <w:spacing w:after="120" w:line="360" w:lineRule="auto"/>
        <w:jc w:val="both"/>
      </w:pPr>
      <w:r w:rsidRPr="002D5927">
        <w:t>Al evaluar el núm</w:t>
      </w:r>
      <w:r w:rsidR="00E51A2D" w:rsidRPr="002D5927">
        <w:t>ero de vainas, se observa</w:t>
      </w:r>
      <w:r w:rsidRPr="002D5927">
        <w:t>, que el tratamiento 4</w:t>
      </w:r>
      <w:r w:rsidR="00D14664">
        <w:t xml:space="preserve"> y</w:t>
      </w:r>
      <w:r w:rsidRPr="002D5927">
        <w:t xml:space="preserve"> el tratamiento 3</w:t>
      </w:r>
      <w:r w:rsidR="00D14664">
        <w:t xml:space="preserve"> no difieren entre </w:t>
      </w:r>
      <w:proofErr w:type="spellStart"/>
      <w:r w:rsidR="00D14664">
        <w:t>si</w:t>
      </w:r>
      <w:proofErr w:type="spellEnd"/>
      <w:r w:rsidRPr="002D5927">
        <w:t>,</w:t>
      </w:r>
      <w:r w:rsidR="00D14664">
        <w:t xml:space="preserve"> al igual que el tratamiento 3 no difiere del 2 y estos tres tratamientos donde se aplicaron los </w:t>
      </w:r>
      <w:proofErr w:type="spellStart"/>
      <w:r w:rsidR="00D14664">
        <w:t>bioproductos</w:t>
      </w:r>
      <w:proofErr w:type="spellEnd"/>
      <w:r w:rsidR="00D14664">
        <w:t>, difieren del 1</w:t>
      </w:r>
      <w:r w:rsidRPr="002D5927">
        <w:t xml:space="preserve">, mostrando </w:t>
      </w:r>
      <w:r w:rsidR="00D14664">
        <w:t>este último</w:t>
      </w:r>
      <w:r w:rsidRPr="002D5927">
        <w:t xml:space="preserve"> el menor resultado (10,3). </w:t>
      </w:r>
    </w:p>
    <w:p w14:paraId="31B5AB27" w14:textId="1EB5543F" w:rsidR="00EF0E16" w:rsidRPr="002D5927" w:rsidRDefault="00EF0E16" w:rsidP="00454E8E">
      <w:pPr>
        <w:spacing w:after="120" w:line="360" w:lineRule="auto"/>
        <w:jc w:val="both"/>
      </w:pPr>
      <w:r w:rsidRPr="002D5927">
        <w:t xml:space="preserve">Garcés </w:t>
      </w:r>
      <w:r w:rsidRPr="002D5927">
        <w:rPr>
          <w:i/>
        </w:rPr>
        <w:t>et al</w:t>
      </w:r>
      <w:r w:rsidRPr="002D5927">
        <w:t>, (2014)</w:t>
      </w:r>
      <w:r w:rsidR="00AF7C9E">
        <w:t xml:space="preserve"> al evaluar diferentes genotipos de soya</w:t>
      </w:r>
      <w:r w:rsidRPr="002D5927">
        <w:t xml:space="preserve"> para esta variable</w:t>
      </w:r>
      <w:r w:rsidR="00AF7C9E">
        <w:t>, reporta que</w:t>
      </w:r>
      <w:r w:rsidRPr="002D5927">
        <w:t xml:space="preserve"> durante la época lluviosa y seca no se observó diferencias estadísticas entre los genotipos evalua</w:t>
      </w:r>
      <w:r w:rsidR="00AF7C9E">
        <w:t>dos</w:t>
      </w:r>
      <w:r w:rsidRPr="002D5927">
        <w:t xml:space="preserve">, aunque con valores superiores a los alcanzados en esta investigación, lo que puede deberse a las características genéticas de las variedades y a los factores climáticos imperantes en el momento del desarrollo </w:t>
      </w:r>
      <w:r w:rsidR="00AF7C9E">
        <w:t>de su</w:t>
      </w:r>
      <w:r w:rsidRPr="002D5927">
        <w:t xml:space="preserve"> trabajo</w:t>
      </w:r>
      <w:r w:rsidR="00AF7C9E">
        <w:t>.</w:t>
      </w:r>
    </w:p>
    <w:p w14:paraId="2173CBEA" w14:textId="01B16959" w:rsidR="00EF0E16" w:rsidRPr="002D5927" w:rsidRDefault="00EF0E16" w:rsidP="00454E8E">
      <w:pPr>
        <w:spacing w:after="120" w:line="360" w:lineRule="auto"/>
        <w:jc w:val="both"/>
      </w:pPr>
      <w:r w:rsidRPr="002D5927">
        <w:t>En las condiciones climáticas de Puerto Padre</w:t>
      </w:r>
      <w:r w:rsidR="00AE0C06">
        <w:t>,</w:t>
      </w:r>
      <w:r w:rsidRPr="002D5927">
        <w:t xml:space="preserve"> Ávila, </w:t>
      </w:r>
      <w:r w:rsidRPr="002D5927">
        <w:rPr>
          <w:i/>
        </w:rPr>
        <w:t>et al.,</w:t>
      </w:r>
      <w:r w:rsidRPr="002D5927">
        <w:t xml:space="preserve"> (2016) </w:t>
      </w:r>
      <w:r w:rsidR="00AE0C06">
        <w:t xml:space="preserve">reportan con respecto a </w:t>
      </w:r>
      <w:r w:rsidRPr="002D5927">
        <w:t>la variedad INCASOY-2</w:t>
      </w:r>
      <w:r w:rsidR="00AE0C06">
        <w:t>,</w:t>
      </w:r>
      <w:r w:rsidRPr="002D5927">
        <w:t xml:space="preserve"> 23,0 vainas por plantas, los cuales son superiores a los obtenidos en este trabajo ya que el mismo se realizó en condiciones edafoclimáticas diferentes, a lo que se puede atribuir esta diferencia.</w:t>
      </w:r>
    </w:p>
    <w:p w14:paraId="72629431" w14:textId="164FBF6B" w:rsidR="00EF0E16" w:rsidRPr="002D5927" w:rsidRDefault="00EF0E16" w:rsidP="00454E8E">
      <w:pPr>
        <w:spacing w:after="120" w:line="360" w:lineRule="auto"/>
        <w:jc w:val="both"/>
      </w:pPr>
      <w:r w:rsidRPr="002D5927">
        <w:t>Por otro lado, Pérez (2019)</w:t>
      </w:r>
      <w:r w:rsidR="00AE0C06">
        <w:t>,</w:t>
      </w:r>
      <w:r w:rsidRPr="002D5927">
        <w:t xml:space="preserve"> al evaluar cuatro variedades de soya en la provincia Villa Clara</w:t>
      </w:r>
      <w:r w:rsidR="00AE0C06">
        <w:t>,</w:t>
      </w:r>
      <w:r w:rsidRPr="002D5927">
        <w:t xml:space="preserve"> reporta que la variedad INCASOY -36 fue la que obtuvo el mayor promedio de número de legumbres (vainas) por planta alcanzando un valor promedio de 62,16</w:t>
      </w:r>
      <w:r w:rsidR="00AE0C06">
        <w:t xml:space="preserve">, </w:t>
      </w:r>
      <w:r w:rsidRPr="002D5927">
        <w:t xml:space="preserve">mostrando diferencias significativas con respecto a las demás variedades. Los resultados anteriores difieren a los obtenidos por Alemán </w:t>
      </w:r>
      <w:r w:rsidRPr="002D5927">
        <w:rPr>
          <w:i/>
        </w:rPr>
        <w:t>et al.</w:t>
      </w:r>
      <w:r w:rsidRPr="002D5927">
        <w:t xml:space="preserve"> (2015), los cuales </w:t>
      </w:r>
      <w:r w:rsidR="00AF7C9E">
        <w:t xml:space="preserve">fueron </w:t>
      </w:r>
      <w:r w:rsidR="009975CD">
        <w:t>inferiores</w:t>
      </w:r>
      <w:r w:rsidR="00AF7C9E">
        <w:t xml:space="preserve"> </w:t>
      </w:r>
      <w:r w:rsidR="009975CD">
        <w:t>y ambos</w:t>
      </w:r>
      <w:r w:rsidRPr="002D5927">
        <w:t xml:space="preserve"> resultados difieren de los </w:t>
      </w:r>
      <w:r w:rsidRPr="002D5927">
        <w:lastRenderedPageBreak/>
        <w:t xml:space="preserve">obtenidos en este trabajo, en este sentido Ponce </w:t>
      </w:r>
      <w:r w:rsidRPr="002D5927">
        <w:rPr>
          <w:i/>
        </w:rPr>
        <w:t>et al.</w:t>
      </w:r>
      <w:r w:rsidRPr="002D5927">
        <w:t xml:space="preserve"> (2002) en suelos Ferralíticos rojos obtuvieron para Incasoy-24 valores de 98.12; 67.25 y 74.45 durante 1996; 1997 y 1998 respectivamente, utilizando distancias de 0.45 y 0.60 m entre surcos, inferiores a las utilizadas en el trabajo y con diferentes genotipos.</w:t>
      </w:r>
    </w:p>
    <w:p w14:paraId="4ADC00E1" w14:textId="77777777" w:rsidR="00EF0E16" w:rsidRPr="002D5927" w:rsidRDefault="00EF0E16" w:rsidP="00454E8E">
      <w:pPr>
        <w:spacing w:after="120" w:line="360" w:lineRule="auto"/>
        <w:jc w:val="both"/>
      </w:pPr>
      <w:r w:rsidRPr="002D5927">
        <w:t xml:space="preserve">Aunque no se conoce totalmente el mecanismo de acción a través del cual el </w:t>
      </w:r>
      <w:proofErr w:type="spellStart"/>
      <w:r w:rsidR="00D06691" w:rsidRPr="002D5927">
        <w:t>QuitoMax</w:t>
      </w:r>
      <w:proofErr w:type="spellEnd"/>
      <w:r w:rsidRPr="002D5927">
        <w:t xml:space="preserve">® aumenta el crecimiento y la productividad de los cultivos, si se ha informado un efecto antitranspirante, su presencia causa el cierre estomático en las hojas y evita la pérdida de agua por transpiración (efecto antitranspirante), lo cual reduce el consumo de agua por la planta y regula su disponibilidad para los distintos procesos de la planta, siendo esto esencial en plantas C3 en beneficio de la fotosíntesis. A lo anterior se le debe adicionar el incremento encontrado, con la aplicación de quitosano, en el contenido de algunos nutrientes esenciales relacionados con el desarrollo vegetativo como el calcio, hierro y manganeso según </w:t>
      </w:r>
      <w:proofErr w:type="spellStart"/>
      <w:r w:rsidRPr="002D5927">
        <w:t>Fioreze</w:t>
      </w:r>
      <w:proofErr w:type="spellEnd"/>
      <w:r w:rsidRPr="002D5927">
        <w:t xml:space="preserve"> </w:t>
      </w:r>
      <w:r w:rsidRPr="002D5927">
        <w:rPr>
          <w:i/>
        </w:rPr>
        <w:t>et al</w:t>
      </w:r>
      <w:r w:rsidRPr="002D5927">
        <w:t xml:space="preserve">. (2018), lo que evidencia que al combinarlo con el </w:t>
      </w:r>
      <w:proofErr w:type="spellStart"/>
      <w:r w:rsidR="005D1D06" w:rsidRPr="002D5927">
        <w:t>Azofer</w:t>
      </w:r>
      <w:proofErr w:type="spellEnd"/>
      <w:r w:rsidR="005D1D06" w:rsidRPr="002D5927">
        <w:t>-S®</w:t>
      </w:r>
      <w:r w:rsidRPr="002D5927">
        <w:t>, con su acción fijadora y aportadora aumenta la disponibilidad y absorción de hierro y nitrógeno por la planta.</w:t>
      </w:r>
    </w:p>
    <w:p w14:paraId="751A92EC" w14:textId="116006A6" w:rsidR="00EF0E16" w:rsidRPr="002D5927" w:rsidRDefault="00AE0C06" w:rsidP="00AE0C06">
      <w:pPr>
        <w:spacing w:after="120" w:line="360" w:lineRule="auto"/>
        <w:jc w:val="center"/>
      </w:pPr>
      <w:r>
        <w:rPr>
          <w:noProof/>
        </w:rPr>
        <w:drawing>
          <wp:inline distT="0" distB="0" distL="0" distR="0" wp14:anchorId="7CB0D7C1" wp14:editId="459C1F0D">
            <wp:extent cx="4288790" cy="21634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8790" cy="2163445"/>
                    </a:xfrm>
                    <a:prstGeom prst="rect">
                      <a:avLst/>
                    </a:prstGeom>
                    <a:noFill/>
                    <a:ln>
                      <a:noFill/>
                    </a:ln>
                  </pic:spPr>
                </pic:pic>
              </a:graphicData>
            </a:graphic>
          </wp:inline>
        </w:drawing>
      </w:r>
    </w:p>
    <w:p w14:paraId="17836A1D" w14:textId="77777777" w:rsidR="00E51A2D" w:rsidRPr="00AE0C06" w:rsidRDefault="00E51A2D" w:rsidP="00AE0C06">
      <w:pPr>
        <w:spacing w:after="120" w:line="360" w:lineRule="auto"/>
        <w:jc w:val="center"/>
        <w:rPr>
          <w:sz w:val="20"/>
          <w:szCs w:val="20"/>
        </w:rPr>
      </w:pPr>
      <w:r w:rsidRPr="00AE0C06">
        <w:rPr>
          <w:sz w:val="20"/>
          <w:szCs w:val="20"/>
        </w:rPr>
        <w:t>Figura 1. Número de vainas por planta</w:t>
      </w:r>
    </w:p>
    <w:p w14:paraId="278A901C" w14:textId="4442330E" w:rsidR="00223A24" w:rsidRPr="002D5927" w:rsidRDefault="00EF0E16" w:rsidP="00454E8E">
      <w:pPr>
        <w:spacing w:after="120" w:line="360" w:lineRule="auto"/>
        <w:jc w:val="both"/>
      </w:pPr>
      <w:r w:rsidRPr="002D5927">
        <w:t>Con relación al número de granos por plantas</w:t>
      </w:r>
      <w:r w:rsidR="00AE0C06">
        <w:t xml:space="preserve">, </w:t>
      </w:r>
      <w:r w:rsidRPr="002D5927">
        <w:t xml:space="preserve">como se observa en </w:t>
      </w:r>
      <w:r w:rsidR="00D97F36" w:rsidRPr="002D5927">
        <w:t xml:space="preserve">la </w:t>
      </w:r>
      <w:r w:rsidR="00E51A2D" w:rsidRPr="002D5927">
        <w:t>figura</w:t>
      </w:r>
      <w:r w:rsidR="00D97F36" w:rsidRPr="002D5927">
        <w:t xml:space="preserve"> 2</w:t>
      </w:r>
      <w:r w:rsidR="009975CD">
        <w:t>,</w:t>
      </w:r>
      <w:r w:rsidRPr="002D5927">
        <w:t xml:space="preserve"> el tratamiento 4 (37.4) supera al resto significativamente, el</w:t>
      </w:r>
      <w:r w:rsidR="00F90889" w:rsidRPr="002D5927">
        <w:t xml:space="preserve"> testigo fue el inferior (19,9).</w:t>
      </w:r>
      <w:r w:rsidRPr="002D5927">
        <w:t xml:space="preserve"> Ávila et al., (2016) en la variedad INCASOY-2 reporta valor de 31.2 granos por planta el cual es inferior al tratamiento donde se aplicó </w:t>
      </w:r>
      <w:proofErr w:type="spellStart"/>
      <w:r w:rsidR="00D06691" w:rsidRPr="002D5927">
        <w:t>QuitoMax</w:t>
      </w:r>
      <w:proofErr w:type="spellEnd"/>
      <w:proofErr w:type="gramStart"/>
      <w:r w:rsidRPr="002D5927">
        <w:t>®  y</w:t>
      </w:r>
      <w:proofErr w:type="gramEnd"/>
      <w:r w:rsidRPr="002D5927">
        <w:t xml:space="preserve"> </w:t>
      </w:r>
      <w:proofErr w:type="spellStart"/>
      <w:r w:rsidRPr="002D5927">
        <w:t>Asofer</w:t>
      </w:r>
      <w:proofErr w:type="spellEnd"/>
      <w:r w:rsidR="00654A29" w:rsidRPr="002D5927">
        <w:t>-S®</w:t>
      </w:r>
      <w:r w:rsidRPr="002D5927">
        <w:t xml:space="preserve"> en esta variedad. Para la variedad INCASOY- 22 estos autores señalan valores de 21,6 granos por planta, los cual es más bajo que los presentados en este trabajo</w:t>
      </w:r>
      <w:r w:rsidR="001813E7" w:rsidRPr="002D5927">
        <w:t xml:space="preserve"> en los tratamientos 3 y 4 en la</w:t>
      </w:r>
      <w:r w:rsidRPr="002D5927">
        <w:t xml:space="preserve"> </w:t>
      </w:r>
      <w:r w:rsidR="00E51A2D" w:rsidRPr="002D5927">
        <w:t>figura</w:t>
      </w:r>
      <w:r w:rsidRPr="002D5927">
        <w:t xml:space="preserve"> 2. Costales </w:t>
      </w:r>
      <w:r w:rsidRPr="002D5927">
        <w:rPr>
          <w:i/>
        </w:rPr>
        <w:t>et al.,</w:t>
      </w:r>
      <w:r w:rsidRPr="002D5927">
        <w:t xml:space="preserve"> (2020) plantean que la aplicación de </w:t>
      </w:r>
      <w:proofErr w:type="spellStart"/>
      <w:r w:rsidR="00D06691" w:rsidRPr="002D5927">
        <w:t>QuitoMax</w:t>
      </w:r>
      <w:proofErr w:type="spellEnd"/>
      <w:r w:rsidRPr="002D5927">
        <w:t xml:space="preserve">® estimuló la enzima NR en soya, en dependencia de la concentración empleada. </w:t>
      </w:r>
      <w:r w:rsidRPr="002D5927">
        <w:lastRenderedPageBreak/>
        <w:t xml:space="preserve">Aumentos de la actividad enzimática se han informado por investigadores en diversos cultivos, que dependieron de la concentración y la especie vegetal tratada, con la aspersión foliar de las concentraciones de </w:t>
      </w:r>
      <w:proofErr w:type="spellStart"/>
      <w:r w:rsidR="00D06691" w:rsidRPr="002D5927">
        <w:t>QuitoMax</w:t>
      </w:r>
      <w:proofErr w:type="spellEnd"/>
      <w:r w:rsidRPr="002D5927">
        <w:t>® evaluadas en este trabajo.</w:t>
      </w:r>
    </w:p>
    <w:p w14:paraId="09C75725" w14:textId="77777777" w:rsidR="00EF0E16" w:rsidRPr="002D5927" w:rsidRDefault="00EF0E16" w:rsidP="00454E8E">
      <w:pPr>
        <w:spacing w:after="120" w:line="360" w:lineRule="auto"/>
        <w:jc w:val="both"/>
      </w:pPr>
      <w:r w:rsidRPr="002D5927">
        <w:t xml:space="preserve"> Las concentraciones 10 y 50 mg L -1 de quitosano señalan estos autores, favorecieron el número y la masa seca de los nódulos formados, pero redujeron la actividad NR en hojas durante la etapa V3-V4 de crecimiento de la soya. Sin embargo, en esta etapa, la actividad NR se benefició con las distintas concentraciones de quitosano a partir de 10 mg L -1, en menor medida 1 000 mg L </w:t>
      </w:r>
      <w:r w:rsidRPr="002D5927">
        <w:rPr>
          <w:vertAlign w:val="superscript"/>
        </w:rPr>
        <w:t>-1,</w:t>
      </w:r>
      <w:r w:rsidRPr="002D5927">
        <w:t xml:space="preserve"> con relación a las plantas controles. Lo anterior demuestra que el aporte de N con las concentraciones más bajas de </w:t>
      </w:r>
      <w:proofErr w:type="spellStart"/>
      <w:r w:rsidR="00D06691" w:rsidRPr="002D5927">
        <w:t>QuitoMax</w:t>
      </w:r>
      <w:proofErr w:type="spellEnd"/>
      <w:r w:rsidRPr="002D5927">
        <w:t xml:space="preserve">® pudo deberse más al proceso de fijación biológica del nitrógeno, mientras que con las concentraciones medianas pudo estar más relacionado a la actividad NR como señala </w:t>
      </w:r>
      <w:proofErr w:type="spellStart"/>
      <w:r w:rsidRPr="002D5927">
        <w:t>Mondal</w:t>
      </w:r>
      <w:proofErr w:type="spellEnd"/>
      <w:r w:rsidRPr="002D5927">
        <w:t xml:space="preserve"> </w:t>
      </w:r>
      <w:r w:rsidRPr="002D5927">
        <w:rPr>
          <w:i/>
        </w:rPr>
        <w:t>et al.,</w:t>
      </w:r>
      <w:r w:rsidRPr="002D5927">
        <w:t xml:space="preserve"> (2011) y se puso de manifiesto en este trabajo.</w:t>
      </w:r>
    </w:p>
    <w:p w14:paraId="3F66D92B" w14:textId="77777777" w:rsidR="00EF0E16" w:rsidRPr="002D5927" w:rsidRDefault="009D0A8C" w:rsidP="00454E8E">
      <w:pPr>
        <w:spacing w:after="120" w:line="360" w:lineRule="auto"/>
        <w:jc w:val="both"/>
      </w:pPr>
      <w:r w:rsidRPr="002D5927">
        <w:t>En la misma</w:t>
      </w:r>
      <w:r w:rsidR="00EF0E16" w:rsidRPr="002D5927">
        <w:t xml:space="preserve"> </w:t>
      </w:r>
      <w:r w:rsidR="00E51A2D" w:rsidRPr="002D5927">
        <w:t>figura</w:t>
      </w:r>
      <w:r w:rsidR="00EF0E16" w:rsidRPr="002D5927">
        <w:t xml:space="preserve"> observamos los resultados obtenidos al analizar el peso de 100 granos, donde el tratamiento 4 donde se combinó el </w:t>
      </w:r>
      <w:proofErr w:type="spellStart"/>
      <w:r w:rsidR="00D06691" w:rsidRPr="002D5927">
        <w:t>QuitoMax</w:t>
      </w:r>
      <w:proofErr w:type="spellEnd"/>
      <w:r w:rsidR="00EF0E16" w:rsidRPr="002D5927">
        <w:t xml:space="preserve">® con el </w:t>
      </w:r>
      <w:proofErr w:type="spellStart"/>
      <w:r w:rsidR="005D1D06" w:rsidRPr="002D5927">
        <w:t>Azofer</w:t>
      </w:r>
      <w:proofErr w:type="spellEnd"/>
      <w:r w:rsidR="005D1D06" w:rsidRPr="002D5927">
        <w:t>-S®</w:t>
      </w:r>
      <w:r w:rsidR="00EF0E16" w:rsidRPr="002D5927">
        <w:t xml:space="preserve">, obtiene el mayor peso (19.1), con diferencia significativa sobre el resto de los tratamientos Garcés et al., (2014) señalan que, para el peso de 100 granos, los valores se ubicaron entre 16,23 y 19,53 g, durante la época lluviosa, y entre 15,15 y 18,60 g, durante la época seca, inferiores a los obtenidos en el trabajo ya que se desarrolló en la época seca. </w:t>
      </w:r>
    </w:p>
    <w:p w14:paraId="67A61F56" w14:textId="77777777" w:rsidR="00EF0E16" w:rsidRPr="002D5927" w:rsidRDefault="00EF0E16" w:rsidP="00454E8E">
      <w:pPr>
        <w:spacing w:after="120" w:line="360" w:lineRule="auto"/>
        <w:jc w:val="both"/>
      </w:pPr>
      <w:r w:rsidRPr="002D5927">
        <w:t>Pérez (2014) reporta que en el componente peso de los granos por plantas la variedad Conquista e INCASOY-36 alcanzaron cifras de 16,67 y 15,46 sin diferencias estadísticas significativas entre ellas, pero si superiores a las demás variedades en estudio. En correspondencia con lo anterior autores como Ponce et al. (2002), refieren que este indicador se correlaciona con el rendimiento, a su vez Díaz y Saucedo (2003) señalan que en Cuba el peso de 100 semillas en el cultivo de la soya oscila en un rango de 12 a 19 g.</w:t>
      </w:r>
    </w:p>
    <w:p w14:paraId="6B0D027A" w14:textId="77777777" w:rsidR="00EF0E16" w:rsidRPr="002D5927" w:rsidRDefault="00EF0E16" w:rsidP="00454E8E">
      <w:pPr>
        <w:spacing w:after="120" w:line="360" w:lineRule="auto"/>
        <w:jc w:val="both"/>
      </w:pPr>
      <w:r w:rsidRPr="002D5927">
        <w:t xml:space="preserve">Por otro lado, Farías (1995) refiere que dicho rango se encuentra de 11,6 a 23,5 g, rango en que se encuentran tres de los tratamientos evaluados en este trabajo, donde excepto el tratamiento con la variedad INCASOYA-22 sin aplicación de </w:t>
      </w:r>
      <w:proofErr w:type="spellStart"/>
      <w:r w:rsidRPr="002D5927">
        <w:t>bioestimulante</w:t>
      </w:r>
      <w:proofErr w:type="spellEnd"/>
      <w:r w:rsidRPr="002D5927">
        <w:t xml:space="preserve"> obtiene valores fuera de este rango.</w:t>
      </w:r>
    </w:p>
    <w:p w14:paraId="6D24F329" w14:textId="77777777" w:rsidR="00EF0E16" w:rsidRPr="002D5927" w:rsidRDefault="00EF0E16" w:rsidP="00454E8E">
      <w:pPr>
        <w:spacing w:after="120" w:line="360" w:lineRule="auto"/>
        <w:jc w:val="both"/>
      </w:pPr>
      <w:r w:rsidRPr="002D5927">
        <w:t xml:space="preserve">Peña </w:t>
      </w:r>
      <w:r w:rsidRPr="002D5927">
        <w:rPr>
          <w:i/>
        </w:rPr>
        <w:t>et al</w:t>
      </w:r>
      <w:r w:rsidRPr="002D5927">
        <w:t xml:space="preserve">., (2016) señalan que, en su trabajo a su vez, las concentraciones más bajas de </w:t>
      </w:r>
      <w:proofErr w:type="spellStart"/>
      <w:r w:rsidR="00D06691" w:rsidRPr="002D5927">
        <w:t>QuitoMax</w:t>
      </w:r>
      <w:proofErr w:type="spellEnd"/>
      <w:r w:rsidRPr="002D5927">
        <w:t xml:space="preserve">® también estimularon la concentración de algunos nutrientes, fundamentalmente los oligoelementos, que coincidieron en estimular la formación y la masa seca de los nódulos en las </w:t>
      </w:r>
      <w:r w:rsidRPr="002D5927">
        <w:lastRenderedPageBreak/>
        <w:t>raíces de soya, lo que sugiere que dichas concentraciones favorecieron el proceso simbiótico del cultivo.</w:t>
      </w:r>
    </w:p>
    <w:p w14:paraId="3D915B03" w14:textId="77777777" w:rsidR="00EF0E16" w:rsidRPr="002D5927" w:rsidRDefault="00EF0E16" w:rsidP="00454E8E">
      <w:pPr>
        <w:spacing w:after="120" w:line="360" w:lineRule="auto"/>
        <w:jc w:val="both"/>
      </w:pPr>
      <w:r w:rsidRPr="002D5927">
        <w:t xml:space="preserve">Este planteamiento es motivo de futuras investigaciones para dilucidar el posible mecanismo de estimulación del </w:t>
      </w:r>
      <w:proofErr w:type="spellStart"/>
      <w:r w:rsidR="00D06691" w:rsidRPr="002D5927">
        <w:t>QuitoMax</w:t>
      </w:r>
      <w:proofErr w:type="spellEnd"/>
      <w:r w:rsidRPr="002D5927">
        <w:t xml:space="preserve">®. Similares resultados de incrementos del contenido de nutrientes en leguminosas se han informados con la aplicación conjunta de </w:t>
      </w:r>
      <w:proofErr w:type="spellStart"/>
      <w:r w:rsidR="00D06691" w:rsidRPr="002D5927">
        <w:t>QuitoMax</w:t>
      </w:r>
      <w:proofErr w:type="spellEnd"/>
      <w:r w:rsidRPr="002D5927">
        <w:t xml:space="preserve">® y biofertilizantes a base de bacterias </w:t>
      </w:r>
      <w:proofErr w:type="spellStart"/>
      <w:r w:rsidRPr="002D5927">
        <w:t>diazotróficas</w:t>
      </w:r>
      <w:proofErr w:type="spellEnd"/>
      <w:r w:rsidRPr="002D5927">
        <w:t xml:space="preserve"> libres, con 40 % de incrementos en el contenido de nitrógeno en plantas de frijol caupí (</w:t>
      </w:r>
      <w:r w:rsidRPr="002D5927">
        <w:rPr>
          <w:i/>
        </w:rPr>
        <w:t xml:space="preserve">Vigna </w:t>
      </w:r>
      <w:proofErr w:type="spellStart"/>
      <w:r w:rsidRPr="002D5927">
        <w:rPr>
          <w:i/>
        </w:rPr>
        <w:t>unguiculata</w:t>
      </w:r>
      <w:proofErr w:type="spellEnd"/>
      <w:r w:rsidRPr="002D5927">
        <w:t>) y maíz (</w:t>
      </w:r>
      <w:r w:rsidRPr="002D5927">
        <w:rPr>
          <w:i/>
        </w:rPr>
        <w:t xml:space="preserve">Zea </w:t>
      </w:r>
      <w:proofErr w:type="spellStart"/>
      <w:r w:rsidRPr="002D5927">
        <w:rPr>
          <w:i/>
        </w:rPr>
        <w:t>mays</w:t>
      </w:r>
      <w:proofErr w:type="spellEnd"/>
      <w:r w:rsidRPr="002D5927">
        <w:t>), (</w:t>
      </w:r>
      <w:proofErr w:type="spellStart"/>
      <w:r w:rsidRPr="002D5927">
        <w:t>Jacoby</w:t>
      </w:r>
      <w:proofErr w:type="spellEnd"/>
      <w:r w:rsidRPr="002D5927">
        <w:t xml:space="preserve"> </w:t>
      </w:r>
      <w:r w:rsidRPr="002D5927">
        <w:rPr>
          <w:i/>
        </w:rPr>
        <w:t>et al</w:t>
      </w:r>
      <w:r w:rsidRPr="002D5927">
        <w:t>., 2017).</w:t>
      </w:r>
    </w:p>
    <w:p w14:paraId="0C5D6A52" w14:textId="77777777" w:rsidR="00EF0E16" w:rsidRPr="002D5927" w:rsidRDefault="00EF0E16" w:rsidP="00454E8E">
      <w:pPr>
        <w:spacing w:after="120" w:line="360" w:lineRule="auto"/>
        <w:jc w:val="both"/>
      </w:pPr>
      <w:r w:rsidRPr="002D5927">
        <w:t xml:space="preserve">Se ha informado que el </w:t>
      </w:r>
      <w:proofErr w:type="spellStart"/>
      <w:r w:rsidR="00D06691" w:rsidRPr="002D5927">
        <w:t>QuitoMax</w:t>
      </w:r>
      <w:proofErr w:type="spellEnd"/>
      <w:r w:rsidRPr="002D5927">
        <w:t xml:space="preserve">® aumenta la disponibilidad y la absorción de nutrientes en plantas con otras formas de aplicación. Estas aseveraciones pudieron ocurrir en esta investigación ocasionados por la aplicación del </w:t>
      </w:r>
      <w:proofErr w:type="spellStart"/>
      <w:r w:rsidR="00D06691" w:rsidRPr="002D5927">
        <w:t>QuitoMax</w:t>
      </w:r>
      <w:proofErr w:type="spellEnd"/>
      <w:r w:rsidRPr="002D5927">
        <w:t xml:space="preserve">® en las semillas y </w:t>
      </w:r>
      <w:proofErr w:type="spellStart"/>
      <w:r w:rsidRPr="002D5927">
        <w:t>foliarmente</w:t>
      </w:r>
      <w:proofErr w:type="spellEnd"/>
      <w:r w:rsidRPr="002D5927">
        <w:t>.</w:t>
      </w:r>
    </w:p>
    <w:p w14:paraId="76C4724D" w14:textId="77777777" w:rsidR="00EF0E16" w:rsidRPr="002D5927" w:rsidRDefault="00EF0E16" w:rsidP="00454E8E">
      <w:pPr>
        <w:spacing w:after="120" w:line="360" w:lineRule="auto"/>
        <w:jc w:val="both"/>
      </w:pPr>
      <w:r w:rsidRPr="002D5927">
        <w:t xml:space="preserve">Mederos y Ortiz (2019) señalan que estas dos variedades pueden un peso de 100 granos de 15,98 gramos y una planta tiene un rendimiento de 48,89 gramos para un potencial productivo de 3,7 toneladas por hectárea. El marco de siembra es de 70 cm entre hileras y 4 cm entre plantas para una densidad poblacional superior a las 357 000 plantas </w:t>
      </w:r>
      <w:proofErr w:type="spellStart"/>
      <w:r w:rsidRPr="002D5927">
        <w:t>ha</w:t>
      </w:r>
      <w:proofErr w:type="spellEnd"/>
      <w:r w:rsidRPr="002D5927">
        <w:t xml:space="preserve"> -1 con buena capacidad de maduración, resistencia al acame y al desgrane (dehiscencia).</w:t>
      </w:r>
    </w:p>
    <w:p w14:paraId="6961DBBF" w14:textId="77777777" w:rsidR="00EF0E16" w:rsidRPr="002D5927" w:rsidRDefault="00EF0E16" w:rsidP="00454E8E">
      <w:pPr>
        <w:spacing w:after="120" w:line="360" w:lineRule="auto"/>
        <w:jc w:val="both"/>
      </w:pPr>
      <w:r w:rsidRPr="002D5927">
        <w:t>De la anterior característica señaladas por estos autores todas fueron cumplidas técnicamente en el desarrollo de este trabajo, pero algunos indicadores morfológicos son más bajos, atribuible al clima.</w:t>
      </w:r>
    </w:p>
    <w:p w14:paraId="6A381E41" w14:textId="77777777" w:rsidR="008B3D58" w:rsidRPr="002D5927" w:rsidRDefault="00EF0E16" w:rsidP="00454E8E">
      <w:pPr>
        <w:spacing w:after="120" w:line="360" w:lineRule="auto"/>
        <w:jc w:val="both"/>
      </w:pPr>
      <w:r w:rsidRPr="002D5927">
        <w:t xml:space="preserve">Al evaluar el rendimiento obtenido por tratamiento, se logra el mayor en el número 4 donde se combinaron los </w:t>
      </w:r>
      <w:proofErr w:type="spellStart"/>
      <w:r w:rsidRPr="002D5927">
        <w:t>bioinsumos</w:t>
      </w:r>
      <w:proofErr w:type="spellEnd"/>
      <w:r w:rsidRPr="002D5927">
        <w:t xml:space="preserve"> </w:t>
      </w:r>
      <w:proofErr w:type="spellStart"/>
      <w:r w:rsidR="00D06691" w:rsidRPr="002D5927">
        <w:t>QuitoMax</w:t>
      </w:r>
      <w:proofErr w:type="spellEnd"/>
      <w:r w:rsidRPr="002D5927">
        <w:t xml:space="preserve">® y </w:t>
      </w:r>
      <w:proofErr w:type="spellStart"/>
      <w:r w:rsidR="005D1D06" w:rsidRPr="002D5927">
        <w:t>Azofer</w:t>
      </w:r>
      <w:proofErr w:type="spellEnd"/>
      <w:r w:rsidR="005D1D06" w:rsidRPr="002D5927">
        <w:t>-S®</w:t>
      </w:r>
      <w:r w:rsidRPr="002D5927">
        <w:t xml:space="preserve"> (2.05 t</w:t>
      </w:r>
      <w:r w:rsidR="009B0EAD" w:rsidRPr="002D5927">
        <w:t>,</w:t>
      </w:r>
      <w:r w:rsidRPr="002D5927">
        <w:t xml:space="preserve"> ha</w:t>
      </w:r>
      <w:r w:rsidRPr="002D5927">
        <w:rPr>
          <w:vertAlign w:val="superscript"/>
        </w:rPr>
        <w:t>-1</w:t>
      </w:r>
      <w:r w:rsidRPr="002D5927">
        <w:t>), difiriendo significativamente</w:t>
      </w:r>
      <w:r w:rsidR="009B0EAD" w:rsidRPr="002D5927">
        <w:t xml:space="preserve"> del resto, el tratamiento control solo mostró un rendimiento de 0,07 t ha</w:t>
      </w:r>
      <w:r w:rsidR="009B0EAD" w:rsidRPr="002D5927">
        <w:rPr>
          <w:vertAlign w:val="superscript"/>
        </w:rPr>
        <w:t>-1</w:t>
      </w:r>
      <w:r w:rsidR="009B0EAD" w:rsidRPr="002D5927">
        <w:t xml:space="preserve">. </w:t>
      </w:r>
    </w:p>
    <w:p w14:paraId="05ED84B9" w14:textId="77777777" w:rsidR="00EF0E16" w:rsidRPr="002D5927" w:rsidRDefault="009B0EAD" w:rsidP="00454E8E">
      <w:pPr>
        <w:spacing w:after="120" w:line="360" w:lineRule="auto"/>
        <w:jc w:val="both"/>
      </w:pPr>
      <w:r w:rsidRPr="002D5927">
        <w:t>Toledo y Osa (</w:t>
      </w:r>
      <w:r w:rsidR="00EF0E16" w:rsidRPr="002D5927">
        <w:t xml:space="preserve"> </w:t>
      </w:r>
      <w:r w:rsidRPr="002D5927">
        <w:t>2004)</w:t>
      </w:r>
      <w:r w:rsidR="00EF0E16" w:rsidRPr="002D5927">
        <w:t xml:space="preserve"> en las variedades INCASOY-24 y INCASOY-1, en sus estudios obtuvieron que el rendimiento promedio de estas variedades son de 2,5 y 2,8 t ha</w:t>
      </w:r>
      <w:r w:rsidR="00EF0E16" w:rsidRPr="002D5927">
        <w:rPr>
          <w:vertAlign w:val="superscript"/>
        </w:rPr>
        <w:t>-1</w:t>
      </w:r>
      <w:r w:rsidR="00EF0E16" w:rsidRPr="002D5927">
        <w:t xml:space="preserve"> respectivamente, estos valores son superiores a los registrados en este trabajo, debido a la diferencia de variedades evaluadas, coincidiendo que el desarrollo de estas evaluaciones se realizaron en época de frío, Pérez (2014) al calcular el rendimiento agrícola de las variedades en estudio se observó que las variedades Conquista e INCASOY -36 no tuvieron diferencias estadísticas entre ellas obteniendo cifras de 2</w:t>
      </w:r>
      <w:r w:rsidR="008B3D58" w:rsidRPr="002D5927">
        <w:t>,</w:t>
      </w:r>
      <w:r w:rsidR="00EF0E16" w:rsidRPr="002D5927">
        <w:t>89 y 2</w:t>
      </w:r>
      <w:r w:rsidR="008B3D58" w:rsidRPr="002D5927">
        <w:t>.</w:t>
      </w:r>
      <w:r w:rsidR="00EF0E16" w:rsidRPr="002D5927">
        <w:t>81 t</w:t>
      </w:r>
      <w:r w:rsidR="008B3D58" w:rsidRPr="002D5927">
        <w:t xml:space="preserve"> </w:t>
      </w:r>
      <w:r w:rsidR="00EF0E16" w:rsidRPr="002D5927">
        <w:t>ha</w:t>
      </w:r>
      <w:r w:rsidR="00EF0E16" w:rsidRPr="002D5927">
        <w:rPr>
          <w:vertAlign w:val="superscript"/>
        </w:rPr>
        <w:t>-1</w:t>
      </w:r>
      <w:r w:rsidR="00EF0E16" w:rsidRPr="002D5927">
        <w:t xml:space="preserve"> respectivamente.</w:t>
      </w:r>
    </w:p>
    <w:p w14:paraId="04097046" w14:textId="531E1AD4" w:rsidR="00EF0E16" w:rsidRPr="002D5927" w:rsidRDefault="00AE0C06" w:rsidP="00AE0C06">
      <w:pPr>
        <w:spacing w:after="120" w:line="360" w:lineRule="auto"/>
        <w:jc w:val="center"/>
      </w:pPr>
      <w:r>
        <w:rPr>
          <w:noProof/>
        </w:rPr>
        <w:lastRenderedPageBreak/>
        <w:drawing>
          <wp:inline distT="0" distB="0" distL="0" distR="0" wp14:anchorId="33FBFD48" wp14:editId="31598A5F">
            <wp:extent cx="4533265" cy="2620645"/>
            <wp:effectExtent l="0" t="0" r="63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33265" cy="2620645"/>
                    </a:xfrm>
                    <a:prstGeom prst="rect">
                      <a:avLst/>
                    </a:prstGeom>
                    <a:noFill/>
                    <a:ln>
                      <a:noFill/>
                    </a:ln>
                  </pic:spPr>
                </pic:pic>
              </a:graphicData>
            </a:graphic>
          </wp:inline>
        </w:drawing>
      </w:r>
    </w:p>
    <w:p w14:paraId="7924D058" w14:textId="7CF0449D" w:rsidR="00E75D6D" w:rsidRPr="002D5927" w:rsidRDefault="00E75D6D" w:rsidP="00AE0C06">
      <w:pPr>
        <w:spacing w:after="120" w:line="360" w:lineRule="auto"/>
        <w:jc w:val="center"/>
      </w:pPr>
      <w:r w:rsidRPr="002D5927">
        <w:t>Figura 2</w:t>
      </w:r>
      <w:r w:rsidR="00AE0C06">
        <w:t>.</w:t>
      </w:r>
      <w:r w:rsidRPr="002D5927">
        <w:t xml:space="preserve"> Número de granos </w:t>
      </w:r>
      <w:r w:rsidR="003F64CA" w:rsidRPr="002D5927">
        <w:t xml:space="preserve">por plantas </w:t>
      </w:r>
      <w:r w:rsidRPr="002D5927">
        <w:t>y peso de 100 semillas (g)</w:t>
      </w:r>
      <w:r w:rsidR="00AE0C06">
        <w:t>.</w:t>
      </w:r>
    </w:p>
    <w:p w14:paraId="1459B289" w14:textId="77777777" w:rsidR="00EF0E16" w:rsidRPr="002D5927" w:rsidRDefault="00EF0E16" w:rsidP="00454E8E">
      <w:pPr>
        <w:spacing w:after="120" w:line="360" w:lineRule="auto"/>
        <w:jc w:val="both"/>
      </w:pPr>
      <w:r w:rsidRPr="002D5927">
        <w:t xml:space="preserve">Estos resultados coinciden con los obtenidos por Ortiz </w:t>
      </w:r>
      <w:r w:rsidRPr="002D5927">
        <w:rPr>
          <w:i/>
        </w:rPr>
        <w:t>et al</w:t>
      </w:r>
      <w:r w:rsidRPr="002D5927">
        <w:t>, (2005) los cuales reportaron rendimiento en un rango de 1 hasta 3 t ha</w:t>
      </w:r>
      <w:r w:rsidRPr="002D5927">
        <w:rPr>
          <w:vertAlign w:val="superscript"/>
        </w:rPr>
        <w:t>-1</w:t>
      </w:r>
      <w:r w:rsidRPr="002D5927">
        <w:t xml:space="preserve"> y son superiores a los obtenidos en este trabajo.</w:t>
      </w:r>
    </w:p>
    <w:p w14:paraId="50230145" w14:textId="77777777" w:rsidR="00EF0E16" w:rsidRPr="002D5927" w:rsidRDefault="00EF0E16" w:rsidP="00454E8E">
      <w:pPr>
        <w:spacing w:after="120" w:line="360" w:lineRule="auto"/>
        <w:jc w:val="both"/>
      </w:pPr>
      <w:r w:rsidRPr="002D5927">
        <w:t xml:space="preserve">González </w:t>
      </w:r>
      <w:r w:rsidRPr="002D5927">
        <w:rPr>
          <w:i/>
        </w:rPr>
        <w:t>et al.</w:t>
      </w:r>
      <w:r w:rsidRPr="002D5927">
        <w:t xml:space="preserve">2024, obtuvieron rendimientos de 0.75 </w:t>
      </w:r>
      <w:proofErr w:type="gramStart"/>
      <w:r w:rsidRPr="002D5927">
        <w:t>t.ha</w:t>
      </w:r>
      <w:proofErr w:type="gramEnd"/>
      <w:r w:rsidRPr="002D5927">
        <w:rPr>
          <w:vertAlign w:val="superscript"/>
        </w:rPr>
        <w:t>-1</w:t>
      </w:r>
      <w:r w:rsidRPr="002D5927">
        <w:t xml:space="preserve"> y 0.92 t.ha</w:t>
      </w:r>
      <w:r w:rsidRPr="002D5927">
        <w:rPr>
          <w:vertAlign w:val="superscript"/>
        </w:rPr>
        <w:t>-1</w:t>
      </w:r>
      <w:r w:rsidRPr="002D5927">
        <w:t xml:space="preserve">, al evaluar la variedad INCASOY 2 sin aplicar </w:t>
      </w:r>
      <w:proofErr w:type="spellStart"/>
      <w:r w:rsidR="00D06691" w:rsidRPr="002D5927">
        <w:t>QuitoMax</w:t>
      </w:r>
      <w:proofErr w:type="spellEnd"/>
      <w:r w:rsidRPr="002D5927">
        <w:t xml:space="preserve">® y aplicándolo respectivamente, siendo </w:t>
      </w:r>
      <w:r w:rsidR="00C006DD" w:rsidRPr="002D5927">
        <w:t>inferiores</w:t>
      </w:r>
      <w:r w:rsidRPr="002D5927">
        <w:t xml:space="preserve"> a los obtenidos en esta investigación.</w:t>
      </w:r>
    </w:p>
    <w:p w14:paraId="69F48330" w14:textId="77777777" w:rsidR="00EF0E16" w:rsidRPr="002D5927" w:rsidRDefault="00EF0E16" w:rsidP="00454E8E">
      <w:pPr>
        <w:spacing w:after="120" w:line="360" w:lineRule="auto"/>
        <w:jc w:val="both"/>
      </w:pPr>
      <w:r w:rsidRPr="002D5927">
        <w:t>Valoración económica.</w:t>
      </w:r>
    </w:p>
    <w:p w14:paraId="6459C172" w14:textId="77777777" w:rsidR="00EF0E16" w:rsidRPr="002D5927" w:rsidRDefault="00EF0E16" w:rsidP="00454E8E">
      <w:pPr>
        <w:spacing w:after="120" w:line="360" w:lineRule="auto"/>
        <w:jc w:val="both"/>
      </w:pPr>
      <w:r w:rsidRPr="002D5927">
        <w:t xml:space="preserve">Este es un análisis de suma importancia, ya que permite desarrollar una estrategia de inversión, se observa que todos los tratamientos obtienen ganancias, siendo superiores cuando aplicamos algún </w:t>
      </w:r>
      <w:proofErr w:type="spellStart"/>
      <w:r w:rsidRPr="002D5927">
        <w:t>bioinsumo</w:t>
      </w:r>
      <w:proofErr w:type="spellEnd"/>
      <w:r w:rsidRPr="002D5927">
        <w:t xml:space="preserve">; el tratamiento 4(combinación de </w:t>
      </w:r>
      <w:proofErr w:type="spellStart"/>
      <w:r w:rsidR="00D06691" w:rsidRPr="002D5927">
        <w:t>QuitoMax</w:t>
      </w:r>
      <w:proofErr w:type="spellEnd"/>
      <w:r w:rsidRPr="002D5927">
        <w:t xml:space="preserve">® y </w:t>
      </w:r>
      <w:proofErr w:type="spellStart"/>
      <w:r w:rsidR="005D1D06" w:rsidRPr="002D5927">
        <w:t>Azofer</w:t>
      </w:r>
      <w:proofErr w:type="spellEnd"/>
      <w:r w:rsidR="005D1D06" w:rsidRPr="002D5927">
        <w:t>-S®</w:t>
      </w:r>
      <w:r w:rsidRPr="002D5927">
        <w:t xml:space="preserve"> es el que muestra la ganancia superior ($ 612 000,00), este mismo tratamiento, como se refleja en la tabla 2, es superior en el efecto económico calculado, debemos destacar que los otros tratamientos donde aplicamos </w:t>
      </w:r>
      <w:proofErr w:type="spellStart"/>
      <w:r w:rsidRPr="002D5927">
        <w:t>bioinsumos</w:t>
      </w:r>
      <w:proofErr w:type="spellEnd"/>
      <w:r w:rsidRPr="002D5927">
        <w:t xml:space="preserve"> también poseen un efecto económico positivo.</w:t>
      </w:r>
    </w:p>
    <w:p w14:paraId="625F19AA" w14:textId="77777777" w:rsidR="00EF0E16" w:rsidRPr="002D5927" w:rsidRDefault="00F33293" w:rsidP="00454E8E">
      <w:pPr>
        <w:spacing w:after="120" w:line="360" w:lineRule="auto"/>
        <w:jc w:val="both"/>
        <w:rPr>
          <w:b/>
        </w:rPr>
      </w:pPr>
      <w:r w:rsidRPr="002D5927">
        <w:rPr>
          <w:b/>
        </w:rPr>
        <w:t>Conclusiones.</w:t>
      </w:r>
    </w:p>
    <w:p w14:paraId="75687422" w14:textId="77777777" w:rsidR="00EF0E16" w:rsidRPr="002D5927" w:rsidRDefault="00EF0E16" w:rsidP="00AE0C06">
      <w:pPr>
        <w:numPr>
          <w:ilvl w:val="0"/>
          <w:numId w:val="8"/>
        </w:numPr>
        <w:tabs>
          <w:tab w:val="clear" w:pos="720"/>
          <w:tab w:val="num" w:pos="426"/>
        </w:tabs>
        <w:spacing w:after="120" w:line="360" w:lineRule="auto"/>
        <w:ind w:left="284" w:hanging="284"/>
        <w:jc w:val="both"/>
      </w:pPr>
      <w:r w:rsidRPr="002D5927">
        <w:t>Al inocular las semillas soya variedad “INCASOY-2” (T4), los componentes del rendimiento (número de vainas</w:t>
      </w:r>
      <w:r w:rsidR="00C6154D" w:rsidRPr="002D5927">
        <w:t>,</w:t>
      </w:r>
      <w:r w:rsidRPr="002D5927">
        <w:t xml:space="preserve"> granos por planta</w:t>
      </w:r>
      <w:r w:rsidR="00C6154D" w:rsidRPr="002D5927">
        <w:t>.</w:t>
      </w:r>
      <w:r w:rsidRPr="002D5927">
        <w:t xml:space="preserve"> el peso de 100 granos</w:t>
      </w:r>
      <w:r w:rsidR="00C6154D" w:rsidRPr="002D5927">
        <w:t xml:space="preserve"> y rendimiento</w:t>
      </w:r>
      <w:r w:rsidRPr="002D5927">
        <w:t xml:space="preserve">), muestran que los resultados son superiores al resto de los tratamientos evaluados. </w:t>
      </w:r>
    </w:p>
    <w:p w14:paraId="433C3356" w14:textId="77777777" w:rsidR="00EF0E16" w:rsidRPr="002D5927" w:rsidRDefault="00EF0E16" w:rsidP="00AE0C06">
      <w:pPr>
        <w:numPr>
          <w:ilvl w:val="0"/>
          <w:numId w:val="8"/>
        </w:numPr>
        <w:tabs>
          <w:tab w:val="clear" w:pos="720"/>
          <w:tab w:val="num" w:pos="426"/>
        </w:tabs>
        <w:spacing w:after="120" w:line="360" w:lineRule="auto"/>
        <w:ind w:left="284" w:hanging="284"/>
        <w:jc w:val="both"/>
      </w:pPr>
      <w:r w:rsidRPr="002D5927">
        <w:lastRenderedPageBreak/>
        <w:t xml:space="preserve">Económicamente es superior la aplicación de los </w:t>
      </w:r>
      <w:proofErr w:type="spellStart"/>
      <w:r w:rsidRPr="002D5927">
        <w:t>bioinsumos</w:t>
      </w:r>
      <w:proofErr w:type="spellEnd"/>
      <w:r w:rsidRPr="002D5927">
        <w:t xml:space="preserve"> en todas sus variantes, su combinación (T4), en el que se embebe primero las semillas con la solución de </w:t>
      </w:r>
      <w:proofErr w:type="spellStart"/>
      <w:r w:rsidR="00D06691" w:rsidRPr="002D5927">
        <w:t>QuitoMax</w:t>
      </w:r>
      <w:proofErr w:type="spellEnd"/>
      <w:r w:rsidRPr="002D5927">
        <w:t xml:space="preserve">® y luego se asperja con la solución de </w:t>
      </w:r>
      <w:proofErr w:type="spellStart"/>
      <w:r w:rsidR="005D1D06" w:rsidRPr="002D5927">
        <w:t>Azofer</w:t>
      </w:r>
      <w:proofErr w:type="spellEnd"/>
      <w:r w:rsidR="005D1D06" w:rsidRPr="002D5927">
        <w:t>-S®</w:t>
      </w:r>
      <w:r w:rsidRPr="002D5927">
        <w:t>, es la que refleja los mejores resultados en el efecto económico y la ganancia.</w:t>
      </w:r>
    </w:p>
    <w:p w14:paraId="778A5529" w14:textId="3C7273AE" w:rsidR="00EF0E16" w:rsidRPr="002D5927" w:rsidRDefault="00AE0C06" w:rsidP="00454E8E">
      <w:pPr>
        <w:spacing w:after="120" w:line="360" w:lineRule="auto"/>
        <w:jc w:val="both"/>
        <w:rPr>
          <w:b/>
          <w:lang w:val="en-US"/>
        </w:rPr>
      </w:pPr>
      <w:proofErr w:type="spellStart"/>
      <w:r w:rsidRPr="002D5927">
        <w:rPr>
          <w:b/>
          <w:lang w:val="en-US"/>
        </w:rPr>
        <w:t>Bibliografía</w:t>
      </w:r>
      <w:r>
        <w:rPr>
          <w:b/>
          <w:lang w:val="en-US"/>
        </w:rPr>
        <w:t>s</w:t>
      </w:r>
      <w:proofErr w:type="spellEnd"/>
    </w:p>
    <w:p w14:paraId="10F20DD1" w14:textId="031057FE" w:rsidR="00EF0E16" w:rsidRPr="002D5927" w:rsidRDefault="00EF0E16" w:rsidP="00FB2572">
      <w:pPr>
        <w:spacing w:line="360" w:lineRule="auto"/>
        <w:ind w:left="426" w:hanging="426"/>
        <w:jc w:val="both"/>
      </w:pPr>
      <w:r w:rsidRPr="002D5927">
        <w:rPr>
          <w:lang w:val="en-US"/>
        </w:rPr>
        <w:t>Adeleke RA</w:t>
      </w:r>
      <w:r w:rsidR="00B450D1" w:rsidRPr="002D5927">
        <w:rPr>
          <w:lang w:val="en-US"/>
        </w:rPr>
        <w:t>.</w:t>
      </w:r>
      <w:r w:rsidRPr="002D5927">
        <w:rPr>
          <w:lang w:val="en-US"/>
        </w:rPr>
        <w:t>, Raimi</w:t>
      </w:r>
      <w:r w:rsidR="00B450D1" w:rsidRPr="002D5927">
        <w:rPr>
          <w:lang w:val="en-US"/>
        </w:rPr>
        <w:t>,</w:t>
      </w:r>
      <w:r w:rsidRPr="002D5927">
        <w:rPr>
          <w:lang w:val="en-US"/>
        </w:rPr>
        <w:t xml:space="preserve"> AR</w:t>
      </w:r>
      <w:r w:rsidR="00B450D1" w:rsidRPr="002D5927">
        <w:rPr>
          <w:lang w:val="en-US"/>
        </w:rPr>
        <w:t>.</w:t>
      </w:r>
      <w:r w:rsidRPr="002D5927">
        <w:rPr>
          <w:lang w:val="en-US"/>
        </w:rPr>
        <w:t xml:space="preserve">, </w:t>
      </w:r>
      <w:proofErr w:type="spellStart"/>
      <w:r w:rsidRPr="002D5927">
        <w:rPr>
          <w:lang w:val="en-US"/>
        </w:rPr>
        <w:t>Roopnarain</w:t>
      </w:r>
      <w:proofErr w:type="spellEnd"/>
      <w:r w:rsidR="00B450D1" w:rsidRPr="002D5927">
        <w:rPr>
          <w:lang w:val="en-US"/>
        </w:rPr>
        <w:t>,</w:t>
      </w:r>
      <w:r w:rsidRPr="002D5927">
        <w:rPr>
          <w:lang w:val="en-US"/>
        </w:rPr>
        <w:t xml:space="preserve"> A</w:t>
      </w:r>
      <w:r w:rsidR="00B450D1" w:rsidRPr="002D5927">
        <w:rPr>
          <w:lang w:val="en-US"/>
        </w:rPr>
        <w:t>.</w:t>
      </w:r>
      <w:r w:rsidRPr="002D5927">
        <w:rPr>
          <w:lang w:val="en-US"/>
        </w:rPr>
        <w:t xml:space="preserve">, </w:t>
      </w:r>
      <w:proofErr w:type="spellStart"/>
      <w:r w:rsidRPr="002D5927">
        <w:rPr>
          <w:lang w:val="en-US"/>
        </w:rPr>
        <w:t>Mokubedi</w:t>
      </w:r>
      <w:proofErr w:type="spellEnd"/>
      <w:r w:rsidR="00B450D1" w:rsidRPr="002D5927">
        <w:rPr>
          <w:lang w:val="en-US"/>
        </w:rPr>
        <w:t>,</w:t>
      </w:r>
      <w:r w:rsidRPr="002D5927">
        <w:rPr>
          <w:lang w:val="en-US"/>
        </w:rPr>
        <w:t xml:space="preserve"> SM</w:t>
      </w:r>
      <w:r w:rsidR="00754E43" w:rsidRPr="002D5927">
        <w:rPr>
          <w:lang w:val="en-US"/>
        </w:rPr>
        <w:t xml:space="preserve">. </w:t>
      </w:r>
      <w:r w:rsidRPr="002D5927">
        <w:rPr>
          <w:lang w:val="en-US"/>
        </w:rPr>
        <w:t>2019</w:t>
      </w:r>
      <w:r w:rsidR="00754E43" w:rsidRPr="002D5927">
        <w:rPr>
          <w:lang w:val="en-US"/>
        </w:rPr>
        <w:t>.</w:t>
      </w:r>
      <w:r w:rsidRPr="002D5927">
        <w:rPr>
          <w:lang w:val="en-US"/>
        </w:rPr>
        <w:t xml:space="preserve"> Status and prospects of </w:t>
      </w:r>
      <w:proofErr w:type="spellStart"/>
      <w:r w:rsidRPr="002D5927">
        <w:rPr>
          <w:lang w:val="en-US"/>
        </w:rPr>
        <w:t>bacteal</w:t>
      </w:r>
      <w:proofErr w:type="spellEnd"/>
      <w:r w:rsidRPr="002D5927">
        <w:rPr>
          <w:lang w:val="en-US"/>
        </w:rPr>
        <w:t xml:space="preserve"> inoculants for sustainable management of agroecosystems. </w:t>
      </w:r>
      <w:r w:rsidRPr="002D5927">
        <w:t xml:space="preserve">In: B </w:t>
      </w:r>
      <w:proofErr w:type="spellStart"/>
      <w:r w:rsidRPr="002D5927">
        <w:t>Giri</w:t>
      </w:r>
      <w:proofErr w:type="spellEnd"/>
      <w:r w:rsidRPr="002D5927">
        <w:t xml:space="preserve">, R </w:t>
      </w:r>
      <w:proofErr w:type="spellStart"/>
      <w:r w:rsidRPr="002D5927">
        <w:t>Prasad</w:t>
      </w:r>
      <w:proofErr w:type="spellEnd"/>
      <w:r w:rsidRPr="002D5927">
        <w:t xml:space="preserve">, QS Wu, A Varma (Eds.), </w:t>
      </w:r>
      <w:proofErr w:type="spellStart"/>
      <w:r w:rsidRPr="002D5927">
        <w:t>Biofertilizer</w:t>
      </w:r>
      <w:proofErr w:type="spellEnd"/>
    </w:p>
    <w:p w14:paraId="3108D196" w14:textId="59567607" w:rsidR="00EF0E16" w:rsidRPr="002D5927" w:rsidRDefault="00EF0E16" w:rsidP="00FB2572">
      <w:pPr>
        <w:spacing w:line="360" w:lineRule="auto"/>
        <w:ind w:left="426" w:hanging="426"/>
        <w:jc w:val="both"/>
      </w:pPr>
      <w:r w:rsidRPr="002D5927">
        <w:t xml:space="preserve">Alemán, R., Chacón A., Barreda, A., </w:t>
      </w:r>
      <w:proofErr w:type="spellStart"/>
      <w:r w:rsidRPr="002D5927">
        <w:t>Fleites</w:t>
      </w:r>
      <w:proofErr w:type="spellEnd"/>
      <w:r w:rsidRPr="002D5927">
        <w:t xml:space="preserve">, </w:t>
      </w:r>
      <w:proofErr w:type="spellStart"/>
      <w:r w:rsidRPr="002D5927">
        <w:t>Aliesky</w:t>
      </w:r>
      <w:proofErr w:type="spellEnd"/>
      <w:r w:rsidRPr="002D5927">
        <w:t>., Quiñones R., Rodríguez, R., Rodríguez G. 2015. Estudio de nuevas variedades de soya (</w:t>
      </w:r>
      <w:proofErr w:type="spellStart"/>
      <w:r w:rsidRPr="002D5927">
        <w:t>Glycine</w:t>
      </w:r>
      <w:proofErr w:type="spellEnd"/>
      <w:r w:rsidRPr="002D5927">
        <w:t xml:space="preserve"> </w:t>
      </w:r>
      <w:proofErr w:type="spellStart"/>
      <w:r w:rsidRPr="002D5927">
        <w:t>max</w:t>
      </w:r>
      <w:proofErr w:type="spellEnd"/>
      <w:r w:rsidRPr="002D5927">
        <w:t xml:space="preserve"> (L.) Merrill) en siembras de invierno en suelos pardos con carbonatos. Revista Centro Agrícola. Año 32, No 2, </w:t>
      </w:r>
      <w:proofErr w:type="spellStart"/>
      <w:r w:rsidRPr="002D5927">
        <w:t>pág</w:t>
      </w:r>
      <w:proofErr w:type="spellEnd"/>
      <w:r w:rsidRPr="002D5927">
        <w:t xml:space="preserve"> 35 – 39, Abril – Junio.</w:t>
      </w:r>
    </w:p>
    <w:p w14:paraId="3A5D25FC" w14:textId="0F0298FF" w:rsidR="00EF0E16" w:rsidRPr="002D5927" w:rsidRDefault="00EF0E16" w:rsidP="00FB2572">
      <w:pPr>
        <w:spacing w:line="360" w:lineRule="auto"/>
        <w:ind w:left="426" w:hanging="426"/>
        <w:jc w:val="both"/>
      </w:pPr>
      <w:r w:rsidRPr="002D5927">
        <w:t xml:space="preserve">Ávila, J., Infante, H., Cabello, H. 2016. Evaluación de nuevos cultivares de soya en el municipio Puerto Padre. </w:t>
      </w:r>
      <w:hyperlink r:id="rId19" w:history="1">
        <w:r w:rsidR="00650C86" w:rsidRPr="003F20B6">
          <w:rPr>
            <w:rStyle w:val="Hipervnculo"/>
          </w:rPr>
          <w:t>https://dialnet.unirioja.es/servlet/articulo?codigo=5590922</w:t>
        </w:r>
      </w:hyperlink>
      <w:r w:rsidRPr="002D5927">
        <w:t>.</w:t>
      </w:r>
    </w:p>
    <w:p w14:paraId="2286FAC2" w14:textId="0E3FC0A2" w:rsidR="00EF0E16" w:rsidRPr="002D5927" w:rsidRDefault="00EF0E16" w:rsidP="00FB2572">
      <w:pPr>
        <w:spacing w:line="360" w:lineRule="auto"/>
        <w:ind w:left="426" w:hanging="426"/>
        <w:jc w:val="both"/>
        <w:rPr>
          <w:lang w:val="en-US"/>
        </w:rPr>
      </w:pPr>
      <w:r w:rsidRPr="002D5927">
        <w:t xml:space="preserve">Brown, P., y </w:t>
      </w:r>
      <w:proofErr w:type="spellStart"/>
      <w:r w:rsidRPr="002D5927">
        <w:t>Saa</w:t>
      </w:r>
      <w:proofErr w:type="spellEnd"/>
      <w:r w:rsidRPr="002D5927">
        <w:t xml:space="preserve">, S. 2015. </w:t>
      </w:r>
      <w:proofErr w:type="spellStart"/>
      <w:r w:rsidRPr="002D5927">
        <w:rPr>
          <w:lang w:val="en-US"/>
        </w:rPr>
        <w:t>Biostimulants</w:t>
      </w:r>
      <w:proofErr w:type="spellEnd"/>
      <w:r w:rsidRPr="002D5927">
        <w:rPr>
          <w:lang w:val="en-US"/>
        </w:rPr>
        <w:t xml:space="preserve"> in agriculture. Mini-Review. Front. Plant Sci. 6(671):1- 3. </w:t>
      </w:r>
      <w:hyperlink r:id="rId20" w:history="1">
        <w:r w:rsidR="00650C86" w:rsidRPr="003F20B6">
          <w:rPr>
            <w:rStyle w:val="Hipervnculo"/>
            <w:lang w:val="en-US"/>
          </w:rPr>
          <w:t>https://doi.org/10.3389/fpls.2015 .00671</w:t>
        </w:r>
      </w:hyperlink>
      <w:r w:rsidRPr="002D5927">
        <w:rPr>
          <w:lang w:val="en-US"/>
        </w:rPr>
        <w:t>.</w:t>
      </w:r>
    </w:p>
    <w:p w14:paraId="2F4E9F85" w14:textId="40C3B0FA" w:rsidR="00EF0E16" w:rsidRPr="002D5927" w:rsidRDefault="00EF0E16" w:rsidP="00FB2572">
      <w:pPr>
        <w:spacing w:line="360" w:lineRule="auto"/>
        <w:ind w:left="426" w:hanging="426"/>
        <w:jc w:val="both"/>
        <w:rPr>
          <w:lang w:val="en-US"/>
        </w:rPr>
      </w:pPr>
      <w:r w:rsidRPr="00632A9F">
        <w:rPr>
          <w:lang w:val="en-US"/>
        </w:rPr>
        <w:t>Chávez</w:t>
      </w:r>
      <w:r w:rsidR="00B54DEB" w:rsidRPr="00632A9F">
        <w:rPr>
          <w:lang w:val="en-US"/>
        </w:rPr>
        <w:t>,</w:t>
      </w:r>
      <w:r w:rsidRPr="00632A9F">
        <w:rPr>
          <w:lang w:val="en-US"/>
        </w:rPr>
        <w:t xml:space="preserve"> IF</w:t>
      </w:r>
      <w:r w:rsidR="00B54DEB" w:rsidRPr="00632A9F">
        <w:rPr>
          <w:lang w:val="en-US"/>
        </w:rPr>
        <w:t>.</w:t>
      </w:r>
      <w:r w:rsidRPr="00632A9F">
        <w:rPr>
          <w:lang w:val="en-US"/>
        </w:rPr>
        <w:t>, Zelaya</w:t>
      </w:r>
      <w:r w:rsidR="00B54DEB" w:rsidRPr="00632A9F">
        <w:rPr>
          <w:lang w:val="en-US"/>
        </w:rPr>
        <w:t>,</w:t>
      </w:r>
      <w:r w:rsidRPr="00632A9F">
        <w:rPr>
          <w:lang w:val="en-US"/>
        </w:rPr>
        <w:t xml:space="preserve"> LX</w:t>
      </w:r>
      <w:r w:rsidR="00B54DEB" w:rsidRPr="00632A9F">
        <w:rPr>
          <w:lang w:val="en-US"/>
        </w:rPr>
        <w:t>.</w:t>
      </w:r>
      <w:r w:rsidRPr="00632A9F">
        <w:rPr>
          <w:lang w:val="en-US"/>
        </w:rPr>
        <w:t>, Cruz</w:t>
      </w:r>
      <w:r w:rsidR="00B54DEB" w:rsidRPr="00632A9F">
        <w:rPr>
          <w:lang w:val="en-US"/>
        </w:rPr>
        <w:t>,</w:t>
      </w:r>
      <w:r w:rsidRPr="00632A9F">
        <w:rPr>
          <w:lang w:val="en-US"/>
        </w:rPr>
        <w:t xml:space="preserve"> CI</w:t>
      </w:r>
      <w:r w:rsidR="00B54DEB" w:rsidRPr="00632A9F">
        <w:rPr>
          <w:lang w:val="en-US"/>
        </w:rPr>
        <w:t>.</w:t>
      </w:r>
      <w:r w:rsidRPr="00632A9F">
        <w:rPr>
          <w:lang w:val="en-US"/>
        </w:rPr>
        <w:t>, Rojas</w:t>
      </w:r>
      <w:r w:rsidR="00B54DEB" w:rsidRPr="00632A9F">
        <w:rPr>
          <w:lang w:val="en-US"/>
        </w:rPr>
        <w:t>,</w:t>
      </w:r>
      <w:r w:rsidRPr="00632A9F">
        <w:rPr>
          <w:lang w:val="en-US"/>
        </w:rPr>
        <w:t xml:space="preserve"> E</w:t>
      </w:r>
      <w:r w:rsidR="00B54DEB" w:rsidRPr="00632A9F">
        <w:rPr>
          <w:lang w:val="en-US"/>
        </w:rPr>
        <w:t>.</w:t>
      </w:r>
      <w:r w:rsidRPr="00632A9F">
        <w:rPr>
          <w:lang w:val="en-US"/>
        </w:rPr>
        <w:t xml:space="preserve">, </w:t>
      </w:r>
      <w:proofErr w:type="spellStart"/>
      <w:r w:rsidRPr="00632A9F">
        <w:rPr>
          <w:lang w:val="en-US"/>
        </w:rPr>
        <w:t>Ruíz</w:t>
      </w:r>
      <w:proofErr w:type="spellEnd"/>
      <w:r w:rsidR="00B54DEB" w:rsidRPr="00632A9F">
        <w:rPr>
          <w:lang w:val="en-US"/>
        </w:rPr>
        <w:t>,</w:t>
      </w:r>
      <w:r w:rsidRPr="00632A9F">
        <w:rPr>
          <w:lang w:val="en-US"/>
        </w:rPr>
        <w:t xml:space="preserve"> S </w:t>
      </w:r>
      <w:r w:rsidR="008D1F60" w:rsidRPr="00632A9F">
        <w:rPr>
          <w:lang w:val="en-US"/>
        </w:rPr>
        <w:t>2020.</w:t>
      </w:r>
      <w:r w:rsidRPr="00632A9F">
        <w:rPr>
          <w:lang w:val="en-US"/>
        </w:rPr>
        <w:t xml:space="preserve"> </w:t>
      </w:r>
      <w:r w:rsidRPr="002D5927">
        <w:rPr>
          <w:lang w:val="en-US"/>
        </w:rPr>
        <w:t xml:space="preserve">Sergio de lode Santosh villaloba4 considerations on the use of biofertilizers as a sustainable </w:t>
      </w:r>
      <w:proofErr w:type="spellStart"/>
      <w:r w:rsidRPr="002D5927">
        <w:rPr>
          <w:lang w:val="en-US"/>
        </w:rPr>
        <w:t>agro</w:t>
      </w:r>
      <w:proofErr w:type="spellEnd"/>
      <w:r w:rsidRPr="002D5927">
        <w:rPr>
          <w:lang w:val="en-US"/>
        </w:rPr>
        <w:t>-biotechnological alternative to food security in Mexico.</w:t>
      </w:r>
    </w:p>
    <w:p w14:paraId="764A903F" w14:textId="0630D0C4" w:rsidR="00EF0E16" w:rsidRPr="002D5927" w:rsidRDefault="00EF0E16" w:rsidP="00FB2572">
      <w:pPr>
        <w:spacing w:line="360" w:lineRule="auto"/>
        <w:ind w:left="426" w:hanging="426"/>
        <w:jc w:val="both"/>
      </w:pPr>
      <w:r w:rsidRPr="002D5927">
        <w:t xml:space="preserve">Costales, D., Falcón, A., García, R., </w:t>
      </w:r>
      <w:proofErr w:type="spellStart"/>
      <w:r w:rsidRPr="002D5927">
        <w:t>Zenon</w:t>
      </w:r>
      <w:proofErr w:type="spellEnd"/>
      <w:r w:rsidRPr="002D5927">
        <w:t xml:space="preserve">, J., 2020. Efecto de la aspersión foliar de quitosano en el desarrollo vegetativo de soya inoculada. </w:t>
      </w:r>
      <w:proofErr w:type="spellStart"/>
      <w:r w:rsidRPr="002D5927">
        <w:t>cultrop</w:t>
      </w:r>
      <w:proofErr w:type="spellEnd"/>
      <w:r w:rsidRPr="002D5927">
        <w:t xml:space="preserve"> vol.41 no.4 La Habana oct.-dic. </w:t>
      </w:r>
      <w:hyperlink r:id="rId21" w:history="1">
        <w:r w:rsidR="00650C86" w:rsidRPr="003F20B6">
          <w:rPr>
            <w:rStyle w:val="Hipervnculo"/>
          </w:rPr>
          <w:t>http://scielo.sld.cu/scielo.php?script=sci_arttext&amp;pid=S0258-59362020000400007</w:t>
        </w:r>
      </w:hyperlink>
      <w:r w:rsidRPr="002D5927">
        <w:t>.</w:t>
      </w:r>
    </w:p>
    <w:p w14:paraId="258CC669" w14:textId="77777777" w:rsidR="00EF0E16" w:rsidRPr="002D5927" w:rsidRDefault="00EF0E16" w:rsidP="00FB2572">
      <w:pPr>
        <w:spacing w:line="360" w:lineRule="auto"/>
        <w:ind w:left="426" w:hanging="426"/>
        <w:jc w:val="both"/>
        <w:rPr>
          <w:lang w:val="en-US"/>
        </w:rPr>
      </w:pPr>
      <w:r w:rsidRPr="002D5927">
        <w:t>Farias, J. R. B. 1995. Requisitos climáticos. En: EMBRAPA-</w:t>
      </w:r>
      <w:proofErr w:type="spellStart"/>
      <w:r w:rsidRPr="002D5927">
        <w:t>CPPSo</w:t>
      </w:r>
      <w:proofErr w:type="spellEnd"/>
      <w:r w:rsidRPr="002D5927">
        <w:t xml:space="preserve"> (ed.), El Cultivo de la Soja en Los Trópicos: mejoramiento y producción Colección FAO: Producción y protección vegetal, (27): 13-17. </w:t>
      </w:r>
      <w:r w:rsidRPr="002D5927">
        <w:rPr>
          <w:lang w:val="en-US"/>
        </w:rPr>
        <w:t>Roma.</w:t>
      </w:r>
    </w:p>
    <w:p w14:paraId="24A477FF" w14:textId="4506C6B8" w:rsidR="00EF0E16" w:rsidRPr="002D5927" w:rsidRDefault="00EF0E16" w:rsidP="00FB2572">
      <w:pPr>
        <w:spacing w:line="360" w:lineRule="auto"/>
        <w:ind w:left="426" w:hanging="426"/>
        <w:jc w:val="both"/>
      </w:pPr>
      <w:proofErr w:type="spellStart"/>
      <w:r w:rsidRPr="00632A9F">
        <w:rPr>
          <w:lang w:val="en-US"/>
        </w:rPr>
        <w:t>Fioreze</w:t>
      </w:r>
      <w:proofErr w:type="spellEnd"/>
      <w:r w:rsidRPr="00632A9F">
        <w:rPr>
          <w:lang w:val="en-US"/>
        </w:rPr>
        <w:t xml:space="preserve">, SL, </w:t>
      </w:r>
      <w:proofErr w:type="spellStart"/>
      <w:r w:rsidRPr="00632A9F">
        <w:rPr>
          <w:lang w:val="en-US"/>
        </w:rPr>
        <w:t>Tochetto</w:t>
      </w:r>
      <w:proofErr w:type="spellEnd"/>
      <w:r w:rsidRPr="00632A9F">
        <w:rPr>
          <w:lang w:val="en-US"/>
        </w:rPr>
        <w:t xml:space="preserve">, C., Coelho, AE., Melo, HF. 2018. </w:t>
      </w:r>
      <w:r w:rsidRPr="002D5927">
        <w:rPr>
          <w:lang w:val="en-US"/>
        </w:rPr>
        <w:t xml:space="preserve">Effects of calcium supply on soybean plants. </w:t>
      </w:r>
      <w:proofErr w:type="spellStart"/>
      <w:r w:rsidRPr="002D5927">
        <w:t>Comunicata</w:t>
      </w:r>
      <w:proofErr w:type="spellEnd"/>
      <w:r w:rsidRPr="002D5927">
        <w:t xml:space="preserve"> </w:t>
      </w:r>
      <w:proofErr w:type="spellStart"/>
      <w:r w:rsidRPr="002D5927">
        <w:t>Scientiae</w:t>
      </w:r>
      <w:proofErr w:type="spellEnd"/>
      <w:r w:rsidRPr="002D5927">
        <w:t>. 2018;9(2):219-25.</w:t>
      </w:r>
    </w:p>
    <w:p w14:paraId="549C40E9" w14:textId="58C2D233" w:rsidR="00EF0E16" w:rsidRPr="002D5927" w:rsidRDefault="00EF0E16" w:rsidP="00FB2572">
      <w:pPr>
        <w:spacing w:line="360" w:lineRule="auto"/>
        <w:ind w:left="426" w:hanging="426"/>
        <w:jc w:val="both"/>
      </w:pPr>
      <w:r w:rsidRPr="002D5927">
        <w:t xml:space="preserve">Garcés, F., </w:t>
      </w:r>
      <w:proofErr w:type="spellStart"/>
      <w:r w:rsidRPr="002D5927">
        <w:t>Ampuño</w:t>
      </w:r>
      <w:proofErr w:type="spellEnd"/>
      <w:r w:rsidRPr="002D5927">
        <w:t xml:space="preserve">, M., Vásconez, M.G.H. 2014. “Agronomía, producción y calidad de grano de variedades de soya durante dos épocas de cultivo”, </w:t>
      </w:r>
      <w:proofErr w:type="spellStart"/>
      <w:r w:rsidRPr="002D5927">
        <w:t>Bioscience</w:t>
      </w:r>
      <w:proofErr w:type="spellEnd"/>
      <w:r w:rsidRPr="002D5927">
        <w:t xml:space="preserve"> </w:t>
      </w:r>
      <w:proofErr w:type="spellStart"/>
      <w:r w:rsidRPr="002D5927">
        <w:t>Journal</w:t>
      </w:r>
      <w:proofErr w:type="spellEnd"/>
      <w:r w:rsidRPr="002D5927">
        <w:t>, 30(5): 717-729.</w:t>
      </w:r>
    </w:p>
    <w:p w14:paraId="09730B3B" w14:textId="6DABA99B" w:rsidR="00EF0E16" w:rsidRPr="002D5927" w:rsidRDefault="00EF0E16" w:rsidP="00FB2572">
      <w:pPr>
        <w:spacing w:line="360" w:lineRule="auto"/>
        <w:ind w:left="426" w:hanging="426"/>
        <w:jc w:val="both"/>
        <w:rPr>
          <w:lang w:val="en-US"/>
        </w:rPr>
      </w:pPr>
      <w:r w:rsidRPr="002D5927">
        <w:rPr>
          <w:lang w:val="en-US"/>
        </w:rPr>
        <w:t>G</w:t>
      </w:r>
      <w:r w:rsidR="003D246E" w:rsidRPr="002D5927">
        <w:rPr>
          <w:lang w:val="en-US"/>
        </w:rPr>
        <w:t>oyal</w:t>
      </w:r>
      <w:r w:rsidR="007C0321" w:rsidRPr="002D5927">
        <w:rPr>
          <w:lang w:val="en-US"/>
        </w:rPr>
        <w:t>,</w:t>
      </w:r>
      <w:r w:rsidR="003D246E" w:rsidRPr="002D5927">
        <w:rPr>
          <w:lang w:val="en-US"/>
        </w:rPr>
        <w:t xml:space="preserve"> </w:t>
      </w:r>
      <w:proofErr w:type="gramStart"/>
      <w:r w:rsidR="003D246E" w:rsidRPr="002D5927">
        <w:rPr>
          <w:lang w:val="en-US"/>
        </w:rPr>
        <w:t>RK,</w:t>
      </w:r>
      <w:r w:rsidR="007C0321" w:rsidRPr="002D5927">
        <w:rPr>
          <w:lang w:val="en-US"/>
        </w:rPr>
        <w:t>,</w:t>
      </w:r>
      <w:proofErr w:type="gramEnd"/>
      <w:r w:rsidR="003D246E" w:rsidRPr="002D5927">
        <w:rPr>
          <w:lang w:val="en-US"/>
        </w:rPr>
        <w:t xml:space="preserve"> </w:t>
      </w:r>
      <w:proofErr w:type="spellStart"/>
      <w:r w:rsidR="003D246E" w:rsidRPr="002D5927">
        <w:rPr>
          <w:lang w:val="en-US"/>
        </w:rPr>
        <w:t>Mattoo</w:t>
      </w:r>
      <w:proofErr w:type="spellEnd"/>
      <w:r w:rsidR="007C0321" w:rsidRPr="002D5927">
        <w:rPr>
          <w:lang w:val="en-US"/>
        </w:rPr>
        <w:t>,</w:t>
      </w:r>
      <w:r w:rsidR="003D246E" w:rsidRPr="002D5927">
        <w:rPr>
          <w:lang w:val="en-US"/>
        </w:rPr>
        <w:t xml:space="preserve"> AK,</w:t>
      </w:r>
      <w:r w:rsidR="007C0321" w:rsidRPr="002D5927">
        <w:rPr>
          <w:lang w:val="en-US"/>
        </w:rPr>
        <w:t>,</w:t>
      </w:r>
      <w:r w:rsidR="003D246E" w:rsidRPr="002D5927">
        <w:rPr>
          <w:lang w:val="en-US"/>
        </w:rPr>
        <w:t xml:space="preserve"> Schmidt</w:t>
      </w:r>
      <w:r w:rsidR="007C0321" w:rsidRPr="002D5927">
        <w:rPr>
          <w:lang w:val="en-US"/>
        </w:rPr>
        <w:t>,</w:t>
      </w:r>
      <w:r w:rsidR="003D246E" w:rsidRPr="002D5927">
        <w:rPr>
          <w:lang w:val="en-US"/>
        </w:rPr>
        <w:t xml:space="preserve"> MA. </w:t>
      </w:r>
      <w:r w:rsidRPr="002D5927">
        <w:rPr>
          <w:lang w:val="en-US"/>
        </w:rPr>
        <w:t>2021</w:t>
      </w:r>
      <w:r w:rsidR="003D246E" w:rsidRPr="002D5927">
        <w:rPr>
          <w:lang w:val="en-US"/>
        </w:rPr>
        <w:t>.</w:t>
      </w:r>
      <w:r w:rsidRPr="002D5927">
        <w:rPr>
          <w:lang w:val="en-US"/>
        </w:rPr>
        <w:t xml:space="preserve"> </w:t>
      </w:r>
      <w:proofErr w:type="spellStart"/>
      <w:r w:rsidRPr="002D5927">
        <w:rPr>
          <w:lang w:val="en-US"/>
        </w:rPr>
        <w:t>Rhizobial</w:t>
      </w:r>
      <w:proofErr w:type="spellEnd"/>
      <w:r w:rsidRPr="002D5927">
        <w:rPr>
          <w:lang w:val="en-US"/>
        </w:rPr>
        <w:t xml:space="preserve">-host </w:t>
      </w:r>
      <w:proofErr w:type="spellStart"/>
      <w:r w:rsidRPr="002D5927">
        <w:rPr>
          <w:lang w:val="en-US"/>
        </w:rPr>
        <w:t>interactionsand</w:t>
      </w:r>
      <w:proofErr w:type="spellEnd"/>
      <w:r w:rsidRPr="002D5927">
        <w:rPr>
          <w:lang w:val="en-US"/>
        </w:rPr>
        <w:t xml:space="preserve"> symbiotic nitrogen fixation in legume </w:t>
      </w:r>
      <w:hyperlink r:id="rId22" w:history="1">
        <w:r w:rsidR="00650C86" w:rsidRPr="003F20B6">
          <w:rPr>
            <w:rStyle w:val="Hipervnculo"/>
            <w:lang w:val="en-US"/>
          </w:rPr>
          <w:t>http://www.infoagro.com/herbaceos/industriales/soja2.asp</w:t>
        </w:r>
      </w:hyperlink>
      <w:r w:rsidR="00650C86">
        <w:rPr>
          <w:lang w:val="en-US"/>
        </w:rPr>
        <w:t>.</w:t>
      </w:r>
    </w:p>
    <w:p w14:paraId="1D828F15" w14:textId="45ADC6A8" w:rsidR="00EF0E16" w:rsidRPr="002D5927" w:rsidRDefault="00EF0E16" w:rsidP="00FB2572">
      <w:pPr>
        <w:spacing w:line="360" w:lineRule="auto"/>
        <w:ind w:left="426" w:hanging="426"/>
        <w:jc w:val="both"/>
      </w:pPr>
      <w:r w:rsidRPr="002D5927">
        <w:lastRenderedPageBreak/>
        <w:t xml:space="preserve">González, Y., González L. G., Jiménez María Caridad, Falcón A. y Alarcón M. 2024. Evaluación de </w:t>
      </w:r>
      <w:proofErr w:type="spellStart"/>
      <w:r w:rsidR="00D06691" w:rsidRPr="002D5927">
        <w:t>QuitoMax</w:t>
      </w:r>
      <w:proofErr w:type="spellEnd"/>
      <w:r w:rsidRPr="002D5927">
        <w:t>® en dos variedades de soya (</w:t>
      </w:r>
      <w:proofErr w:type="spellStart"/>
      <w:r w:rsidRPr="002D5927">
        <w:rPr>
          <w:i/>
        </w:rPr>
        <w:t>Glycine</w:t>
      </w:r>
      <w:proofErr w:type="spellEnd"/>
      <w:r w:rsidRPr="002D5927">
        <w:rPr>
          <w:i/>
        </w:rPr>
        <w:t xml:space="preserve"> </w:t>
      </w:r>
      <w:proofErr w:type="spellStart"/>
      <w:r w:rsidRPr="002D5927">
        <w:rPr>
          <w:i/>
        </w:rPr>
        <w:t>max</w:t>
      </w:r>
      <w:proofErr w:type="spellEnd"/>
      <w:r w:rsidRPr="002D5927">
        <w:t xml:space="preserve"> Merril). Revista “Chone, Ciencia y Tecnología”. Vol. 2, </w:t>
      </w:r>
      <w:proofErr w:type="spellStart"/>
      <w:r w:rsidRPr="002D5927">
        <w:t>Nro</w:t>
      </w:r>
      <w:proofErr w:type="spellEnd"/>
      <w:r w:rsidRPr="002D5927">
        <w:t xml:space="preserve"> 1. Enero – </w:t>
      </w:r>
      <w:proofErr w:type="gramStart"/>
      <w:r w:rsidRPr="002D5927">
        <w:t>Junio</w:t>
      </w:r>
      <w:proofErr w:type="gramEnd"/>
      <w:r w:rsidRPr="002D5927">
        <w:t xml:space="preserve"> de 2024, ISSN: 2960-8228.</w:t>
      </w:r>
    </w:p>
    <w:p w14:paraId="34B7D865" w14:textId="7A590F52" w:rsidR="00EF0E16" w:rsidRPr="002D5927" w:rsidRDefault="00EF0E16" w:rsidP="00FB2572">
      <w:pPr>
        <w:spacing w:line="360" w:lineRule="auto"/>
        <w:ind w:left="426" w:hanging="426"/>
        <w:jc w:val="both"/>
      </w:pPr>
      <w:r w:rsidRPr="002D5927">
        <w:t xml:space="preserve">González, Yanet. 2015 </w:t>
      </w:r>
      <w:proofErr w:type="gramStart"/>
      <w:r w:rsidRPr="002D5927">
        <w:t>Efecto</w:t>
      </w:r>
      <w:proofErr w:type="gramEnd"/>
      <w:r w:rsidRPr="002D5927">
        <w:t xml:space="preserve"> del estiércol vacuno en un suelo Pardo </w:t>
      </w:r>
      <w:proofErr w:type="spellStart"/>
      <w:r w:rsidRPr="002D5927">
        <w:t>Sialítico</w:t>
      </w:r>
      <w:proofErr w:type="spellEnd"/>
      <w:r w:rsidRPr="002D5927">
        <w:t xml:space="preserve"> Mullido medianamente avado y su relación con el rendimiento y la población de </w:t>
      </w:r>
      <w:proofErr w:type="spellStart"/>
      <w:r w:rsidRPr="002D5927">
        <w:t>pentatómidos</w:t>
      </w:r>
      <w:proofErr w:type="spellEnd"/>
      <w:r w:rsidRPr="002D5927">
        <w:t xml:space="preserve"> en el cultivo de la soya (</w:t>
      </w:r>
      <w:proofErr w:type="spellStart"/>
      <w:r w:rsidRPr="002D5927">
        <w:t>Glycine</w:t>
      </w:r>
      <w:proofErr w:type="spellEnd"/>
      <w:r w:rsidRPr="002D5927">
        <w:t xml:space="preserve"> </w:t>
      </w:r>
      <w:proofErr w:type="spellStart"/>
      <w:r w:rsidRPr="002D5927">
        <w:t>max</w:t>
      </w:r>
      <w:proofErr w:type="spellEnd"/>
      <w:r w:rsidRPr="002D5927">
        <w:t xml:space="preserve"> (L.) </w:t>
      </w:r>
      <w:proofErr w:type="spellStart"/>
      <w:r w:rsidRPr="002D5927">
        <w:t>Merr</w:t>
      </w:r>
      <w:proofErr w:type="spellEnd"/>
      <w:r w:rsidRPr="002D5927">
        <w:t>).</w:t>
      </w:r>
    </w:p>
    <w:p w14:paraId="0BF56446" w14:textId="651539D8" w:rsidR="00EF0E16" w:rsidRPr="00D14664" w:rsidRDefault="00EF0E16" w:rsidP="00FB2572">
      <w:pPr>
        <w:spacing w:line="360" w:lineRule="auto"/>
        <w:ind w:left="426" w:hanging="426"/>
        <w:jc w:val="both"/>
      </w:pPr>
      <w:r w:rsidRPr="002D5927">
        <w:t xml:space="preserve">Hernández, J. A., Pérez, J. J. M., Bosch, I. D. y Castro, S. N. 2015. </w:t>
      </w:r>
      <w:r w:rsidRPr="00D14664">
        <w:t>Clasificación de los suelos de Cuba. La Habana: INCA.</w:t>
      </w:r>
    </w:p>
    <w:p w14:paraId="3CBFEB8E" w14:textId="77777777" w:rsidR="009975CD" w:rsidRDefault="00EF0E16" w:rsidP="00FB2572">
      <w:pPr>
        <w:spacing w:line="360" w:lineRule="auto"/>
        <w:ind w:left="426" w:hanging="426"/>
        <w:jc w:val="both"/>
        <w:rPr>
          <w:lang w:val="en-US"/>
        </w:rPr>
      </w:pPr>
      <w:proofErr w:type="spellStart"/>
      <w:r w:rsidRPr="00D14664">
        <w:t>Jacoby</w:t>
      </w:r>
      <w:proofErr w:type="spellEnd"/>
      <w:r w:rsidRPr="00D14664">
        <w:t xml:space="preserve">, R., </w:t>
      </w:r>
      <w:proofErr w:type="spellStart"/>
      <w:r w:rsidRPr="00D14664">
        <w:t>Peukert</w:t>
      </w:r>
      <w:proofErr w:type="spellEnd"/>
      <w:r w:rsidRPr="00D14664">
        <w:t xml:space="preserve">, M., </w:t>
      </w:r>
      <w:proofErr w:type="spellStart"/>
      <w:r w:rsidRPr="00D14664">
        <w:t>Succurro</w:t>
      </w:r>
      <w:proofErr w:type="spellEnd"/>
      <w:r w:rsidRPr="00D14664">
        <w:t xml:space="preserve">, A., </w:t>
      </w:r>
      <w:proofErr w:type="spellStart"/>
      <w:r w:rsidRPr="00D14664">
        <w:t>Koprivova</w:t>
      </w:r>
      <w:proofErr w:type="spellEnd"/>
      <w:r w:rsidRPr="00D14664">
        <w:t xml:space="preserve">, A., </w:t>
      </w:r>
      <w:proofErr w:type="spellStart"/>
      <w:r w:rsidRPr="00D14664">
        <w:t>Kopriva</w:t>
      </w:r>
      <w:proofErr w:type="spellEnd"/>
      <w:r w:rsidRPr="00D14664">
        <w:t xml:space="preserve">, S. 2017. </w:t>
      </w:r>
      <w:r w:rsidRPr="002D5927">
        <w:rPr>
          <w:lang w:val="en-US"/>
        </w:rPr>
        <w:t>The role of soil microorganisms in plant mineral nutrition-current knowledge and future directions. Frontiers in plant science. 8:1617.</w:t>
      </w:r>
    </w:p>
    <w:p w14:paraId="105DB162" w14:textId="57002CB4" w:rsidR="00EF0E16" w:rsidRPr="002D5927" w:rsidRDefault="00EF0E16" w:rsidP="00FB2572">
      <w:pPr>
        <w:spacing w:line="360" w:lineRule="auto"/>
        <w:ind w:left="426" w:hanging="426"/>
        <w:jc w:val="both"/>
      </w:pPr>
      <w:r w:rsidRPr="00632A9F">
        <w:rPr>
          <w:lang w:val="en-US"/>
        </w:rPr>
        <w:t xml:space="preserve">Lope, C., Ochoa, X., Aguilera, N. 2018. </w:t>
      </w:r>
      <w:r w:rsidRPr="002D5927">
        <w:t xml:space="preserve">Soya. La oleaginosa de mayor importancia a nivel mundial </w:t>
      </w:r>
      <w:hyperlink r:id="rId23" w:history="1">
        <w:r w:rsidR="00650C86" w:rsidRPr="003F20B6">
          <w:rPr>
            <w:rStyle w:val="Hipervnculo"/>
          </w:rPr>
          <w:t>http://www.oiapes.sagarhpa.sonora.gob.mx/paq-tec/paq-soya</w:t>
        </w:r>
      </w:hyperlink>
      <w:r w:rsidRPr="002D5927">
        <w:t>.</w:t>
      </w:r>
    </w:p>
    <w:p w14:paraId="253B7BA2" w14:textId="466660AD" w:rsidR="00650C86" w:rsidRPr="00D14664" w:rsidRDefault="00EF0E16" w:rsidP="00FB2572">
      <w:pPr>
        <w:spacing w:line="360" w:lineRule="auto"/>
        <w:ind w:left="426" w:hanging="426"/>
        <w:jc w:val="both"/>
      </w:pPr>
      <w:r w:rsidRPr="002D5927">
        <w:t xml:space="preserve">Martínez-González, L., Maqueira-López, L., Nápoles-García, MC., Núñez-Vázquez, M. 2017. Efecto de </w:t>
      </w:r>
      <w:proofErr w:type="spellStart"/>
      <w:r w:rsidRPr="002D5927">
        <w:t>bioestimulantes</w:t>
      </w:r>
      <w:proofErr w:type="spellEnd"/>
      <w:r w:rsidRPr="002D5927">
        <w:t xml:space="preserve"> en el rendimiento de dos cultivares de frijol (</w:t>
      </w:r>
      <w:proofErr w:type="spellStart"/>
      <w:r w:rsidRPr="002D5927">
        <w:t>Phaseolus</w:t>
      </w:r>
      <w:proofErr w:type="spellEnd"/>
      <w:r w:rsidRPr="002D5927">
        <w:t xml:space="preserve"> </w:t>
      </w:r>
      <w:proofErr w:type="spellStart"/>
      <w:r w:rsidRPr="002D5927">
        <w:t>vulgaris</w:t>
      </w:r>
      <w:proofErr w:type="spellEnd"/>
      <w:r w:rsidRPr="002D5927">
        <w:t xml:space="preserve"> L.) Revista “Chone, Ciencia y Tecnología”. Vol. 2, </w:t>
      </w:r>
      <w:proofErr w:type="spellStart"/>
      <w:r w:rsidRPr="002D5927">
        <w:t>Nro</w:t>
      </w:r>
      <w:proofErr w:type="spellEnd"/>
      <w:r w:rsidRPr="002D5927">
        <w:t xml:space="preserve"> 1. Enero – </w:t>
      </w:r>
      <w:proofErr w:type="gramStart"/>
      <w:r w:rsidRPr="002D5927">
        <w:t>Junio</w:t>
      </w:r>
      <w:proofErr w:type="gramEnd"/>
      <w:r w:rsidRPr="002D5927">
        <w:t xml:space="preserve"> de 2024, ISSN: 2960-8228 https://www.cct-uleam.info </w:t>
      </w:r>
      <w:proofErr w:type="spellStart"/>
      <w:r w:rsidRPr="002D5927">
        <w:t>Biofertilizados</w:t>
      </w:r>
      <w:proofErr w:type="spellEnd"/>
      <w:r w:rsidRPr="002D5927">
        <w:t xml:space="preserve">. </w:t>
      </w:r>
      <w:r w:rsidRPr="00632A9F">
        <w:rPr>
          <w:lang w:val="es-MX"/>
        </w:rPr>
        <w:t xml:space="preserve">Cultivos </w:t>
      </w:r>
      <w:proofErr w:type="gramStart"/>
      <w:r w:rsidRPr="00632A9F">
        <w:rPr>
          <w:lang w:val="es-MX"/>
        </w:rPr>
        <w:t>Tropicales .</w:t>
      </w:r>
      <w:proofErr w:type="gramEnd"/>
      <w:r w:rsidRPr="00632A9F">
        <w:rPr>
          <w:lang w:val="es-MX"/>
        </w:rPr>
        <w:t xml:space="preserve"> </w:t>
      </w:r>
      <w:r w:rsidRPr="00D14664">
        <w:t>2017;38(2):113–8:</w:t>
      </w:r>
      <w:r w:rsidR="00650C86" w:rsidRPr="00D14664">
        <w:t xml:space="preserve"> </w:t>
      </w:r>
      <w:hyperlink r:id="rId24" w:history="1">
        <w:r w:rsidR="00650C86" w:rsidRPr="00D14664">
          <w:rPr>
            <w:rStyle w:val="Hipervnculo"/>
          </w:rPr>
          <w:t>http://scielo.sld.cu/scielo.php?script=sci_arttext&amp;pid=S0258-362017000200017</w:t>
        </w:r>
      </w:hyperlink>
    </w:p>
    <w:p w14:paraId="1C449AA9" w14:textId="7290A636" w:rsidR="00EF0E16" w:rsidRDefault="00EF0E16" w:rsidP="00FB2572">
      <w:pPr>
        <w:spacing w:line="360" w:lineRule="auto"/>
        <w:ind w:left="426" w:hanging="426"/>
        <w:jc w:val="both"/>
        <w:rPr>
          <w:lang w:val="en-US"/>
        </w:rPr>
      </w:pPr>
      <w:r w:rsidRPr="002D5927">
        <w:t xml:space="preserve">Mederos-Ramírez, A., y Ortiz-Pérez, R. 2019. Efecto estimulante </w:t>
      </w:r>
      <w:proofErr w:type="spellStart"/>
      <w:r w:rsidRPr="002D5927">
        <w:t>termoperapeuticos</w:t>
      </w:r>
      <w:proofErr w:type="spellEnd"/>
      <w:r w:rsidRPr="002D5927">
        <w:t xml:space="preserve"> en semillas de soya (</w:t>
      </w:r>
      <w:proofErr w:type="spellStart"/>
      <w:r w:rsidRPr="002D5927">
        <w:t>Glycine</w:t>
      </w:r>
      <w:proofErr w:type="spellEnd"/>
      <w:r w:rsidRPr="002D5927">
        <w:t xml:space="preserve"> </w:t>
      </w:r>
      <w:proofErr w:type="spellStart"/>
      <w:r w:rsidRPr="002D5927">
        <w:t>max</w:t>
      </w:r>
      <w:proofErr w:type="spellEnd"/>
      <w:r w:rsidRPr="002D5927">
        <w:t xml:space="preserve"> (L.) </w:t>
      </w:r>
      <w:r w:rsidRPr="002D5927">
        <w:rPr>
          <w:lang w:val="en-US"/>
        </w:rPr>
        <w:t xml:space="preserve">Merrill) </w:t>
      </w:r>
      <w:hyperlink r:id="rId25" w:history="1">
        <w:r w:rsidR="00650C86" w:rsidRPr="003F20B6">
          <w:rPr>
            <w:rStyle w:val="Hipervnculo"/>
            <w:lang w:val="en-US"/>
          </w:rPr>
          <w:t>https://www.redalyc.org/journal/2691/269173684020/movil/</w:t>
        </w:r>
      </w:hyperlink>
    </w:p>
    <w:p w14:paraId="45BF60C0" w14:textId="77777777" w:rsidR="00650C86" w:rsidRDefault="00650C86" w:rsidP="00FB2572">
      <w:pPr>
        <w:spacing w:line="360" w:lineRule="auto"/>
        <w:ind w:left="426" w:hanging="426"/>
        <w:jc w:val="both"/>
        <w:rPr>
          <w:lang w:val="en-US"/>
        </w:rPr>
      </w:pPr>
    </w:p>
    <w:p w14:paraId="341F0868" w14:textId="77777777" w:rsidR="00650C86" w:rsidRPr="002D5927" w:rsidRDefault="00650C86" w:rsidP="00FB2572">
      <w:pPr>
        <w:spacing w:line="360" w:lineRule="auto"/>
        <w:ind w:left="426" w:hanging="426"/>
        <w:jc w:val="both"/>
        <w:rPr>
          <w:lang w:val="en-US"/>
        </w:rPr>
      </w:pPr>
    </w:p>
    <w:p w14:paraId="0EEE005E" w14:textId="2D1673B3" w:rsidR="00EF0E16" w:rsidRPr="00D14664" w:rsidRDefault="00EF0E16" w:rsidP="00FB2572">
      <w:pPr>
        <w:spacing w:line="360" w:lineRule="auto"/>
        <w:jc w:val="both"/>
      </w:pPr>
      <w:proofErr w:type="spellStart"/>
      <w:r w:rsidRPr="002D5927">
        <w:t>Mondal</w:t>
      </w:r>
      <w:proofErr w:type="spellEnd"/>
      <w:r w:rsidRPr="002D5927">
        <w:t xml:space="preserve">, MMA., Rana, MIK., </w:t>
      </w:r>
      <w:proofErr w:type="spellStart"/>
      <w:r w:rsidRPr="002D5927">
        <w:t>Dafader</w:t>
      </w:r>
      <w:proofErr w:type="spellEnd"/>
      <w:r w:rsidRPr="002D5927">
        <w:t xml:space="preserve">, NC., </w:t>
      </w:r>
      <w:proofErr w:type="spellStart"/>
      <w:r w:rsidRPr="002D5927">
        <w:t>Haque</w:t>
      </w:r>
      <w:proofErr w:type="spellEnd"/>
      <w:r w:rsidRPr="002D5927">
        <w:t xml:space="preserve">, ME. 2011. </w:t>
      </w:r>
      <w:r w:rsidRPr="002D5927">
        <w:rPr>
          <w:lang w:val="en-US"/>
        </w:rPr>
        <w:t xml:space="preserve">Effect of foliar application of chitosan on growth and yield in Indian spinach. </w:t>
      </w:r>
      <w:r w:rsidRPr="00D14664">
        <w:t xml:space="preserve">J. </w:t>
      </w:r>
      <w:proofErr w:type="spellStart"/>
      <w:r w:rsidRPr="00D14664">
        <w:t>Agrofor</w:t>
      </w:r>
      <w:proofErr w:type="spellEnd"/>
      <w:r w:rsidRPr="00D14664">
        <w:t xml:space="preserve">. </w:t>
      </w:r>
      <w:proofErr w:type="spellStart"/>
      <w:r w:rsidRPr="00D14664">
        <w:t>Environ</w:t>
      </w:r>
      <w:proofErr w:type="spellEnd"/>
      <w:r w:rsidRPr="00D14664">
        <w:t>. 5(1):99-102.</w:t>
      </w:r>
    </w:p>
    <w:p w14:paraId="5B90C7C0" w14:textId="23945A73" w:rsidR="00EF0E16" w:rsidRPr="002D5927" w:rsidRDefault="00EF0E16" w:rsidP="00FB2572">
      <w:pPr>
        <w:spacing w:line="360" w:lineRule="auto"/>
        <w:ind w:left="426" w:hanging="426"/>
        <w:jc w:val="both"/>
        <w:rPr>
          <w:lang w:val="en-US"/>
        </w:rPr>
      </w:pPr>
      <w:r w:rsidRPr="002D5927">
        <w:t xml:space="preserve">Ortiz, R., Gonzales, R., Ponce, M. 2005. Importancia de la localidad en el comportamiento de variedades de soya durante siembras de primavera en Cuba. </w:t>
      </w:r>
      <w:proofErr w:type="spellStart"/>
      <w:r w:rsidRPr="002D5927">
        <w:rPr>
          <w:lang w:val="en-US"/>
        </w:rPr>
        <w:t>Cultivos</w:t>
      </w:r>
      <w:proofErr w:type="spellEnd"/>
      <w:r w:rsidRPr="002D5927">
        <w:rPr>
          <w:lang w:val="en-US"/>
        </w:rPr>
        <w:t xml:space="preserve"> </w:t>
      </w:r>
      <w:proofErr w:type="spellStart"/>
      <w:r w:rsidRPr="002D5927">
        <w:rPr>
          <w:lang w:val="en-US"/>
        </w:rPr>
        <w:t>Tropicales</w:t>
      </w:r>
      <w:proofErr w:type="spellEnd"/>
      <w:r w:rsidRPr="002D5927">
        <w:rPr>
          <w:lang w:val="en-US"/>
        </w:rPr>
        <w:t>. 25:67-72.</w:t>
      </w:r>
    </w:p>
    <w:p w14:paraId="5C4BF407" w14:textId="0D0568DB" w:rsidR="00EF0E16" w:rsidRPr="002D5927" w:rsidRDefault="00EF0E16" w:rsidP="00FB2572">
      <w:pPr>
        <w:spacing w:line="360" w:lineRule="auto"/>
        <w:ind w:left="426" w:hanging="426"/>
        <w:jc w:val="both"/>
        <w:rPr>
          <w:lang w:val="en-US"/>
        </w:rPr>
      </w:pPr>
      <w:proofErr w:type="spellStart"/>
      <w:r w:rsidRPr="002D5927">
        <w:rPr>
          <w:lang w:val="en-US"/>
        </w:rPr>
        <w:t>Orzali</w:t>
      </w:r>
      <w:proofErr w:type="spellEnd"/>
      <w:r w:rsidRPr="002D5927">
        <w:rPr>
          <w:lang w:val="en-US"/>
        </w:rPr>
        <w:t xml:space="preserve">, L, </w:t>
      </w:r>
      <w:proofErr w:type="spellStart"/>
      <w:r w:rsidRPr="002D5927">
        <w:rPr>
          <w:lang w:val="en-US"/>
        </w:rPr>
        <w:t>Corsi</w:t>
      </w:r>
      <w:proofErr w:type="spellEnd"/>
      <w:r w:rsidRPr="002D5927">
        <w:rPr>
          <w:lang w:val="en-US"/>
        </w:rPr>
        <w:t xml:space="preserve">, B., </w:t>
      </w:r>
      <w:proofErr w:type="spellStart"/>
      <w:r w:rsidRPr="002D5927">
        <w:rPr>
          <w:lang w:val="en-US"/>
        </w:rPr>
        <w:t>Forni</w:t>
      </w:r>
      <w:proofErr w:type="spellEnd"/>
      <w:r w:rsidRPr="002D5927">
        <w:rPr>
          <w:lang w:val="en-US"/>
        </w:rPr>
        <w:t xml:space="preserve">, C., </w:t>
      </w:r>
      <w:proofErr w:type="spellStart"/>
      <w:r w:rsidRPr="002D5927">
        <w:rPr>
          <w:lang w:val="en-US"/>
        </w:rPr>
        <w:t>Riccioni</w:t>
      </w:r>
      <w:proofErr w:type="spellEnd"/>
      <w:r w:rsidRPr="002D5927">
        <w:rPr>
          <w:lang w:val="en-US"/>
        </w:rPr>
        <w:t>, L. 2017.Chitosan in Agriculture: A New Challenge for Managing Plant Disease. Chapter 2, IN INTECH: Biological Activities and Application of Marine Polysaccharides, 2017; 17-33 p.</w:t>
      </w:r>
    </w:p>
    <w:p w14:paraId="68DDA43B" w14:textId="49B5A659" w:rsidR="002E1835" w:rsidRPr="002D5927" w:rsidRDefault="00EF0E16" w:rsidP="00FB2572">
      <w:pPr>
        <w:spacing w:line="360" w:lineRule="auto"/>
        <w:ind w:left="426" w:hanging="426"/>
        <w:jc w:val="both"/>
      </w:pPr>
      <w:r w:rsidRPr="002D5927">
        <w:lastRenderedPageBreak/>
        <w:t>Pérez, A. 2014. Respuesta agronómica e incidencia de plagas en cuatro variedades de soya en la asociación con girasol. Trabajo de Diploma Universidad</w:t>
      </w:r>
      <w:r w:rsidR="002E1835" w:rsidRPr="002D5927">
        <w:t xml:space="preserve"> Central de las Villas. </w:t>
      </w:r>
    </w:p>
    <w:p w14:paraId="19F256A9" w14:textId="6A50DEF0" w:rsidR="00EF0E16" w:rsidRPr="002D5927" w:rsidRDefault="00EF0E16" w:rsidP="00FB2572">
      <w:pPr>
        <w:spacing w:line="360" w:lineRule="auto"/>
        <w:ind w:left="426" w:hanging="426"/>
        <w:jc w:val="both"/>
      </w:pPr>
      <w:r w:rsidRPr="002D5927">
        <w:t xml:space="preserve">Pérez, A. 2019. Respuesta agronómica e incidencia de plagas en cuatro variedades de soya en la asociación con girasol. Trabajo de Diploma Universidad Central de las </w:t>
      </w:r>
      <w:proofErr w:type="gramStart"/>
      <w:r w:rsidRPr="002D5927">
        <w:t>Villas..</w:t>
      </w:r>
      <w:proofErr w:type="gramEnd"/>
    </w:p>
    <w:p w14:paraId="00F3421A" w14:textId="56A530C9" w:rsidR="00EF0E16" w:rsidRPr="002D5927" w:rsidRDefault="00EF0E16" w:rsidP="00FB2572">
      <w:pPr>
        <w:spacing w:line="360" w:lineRule="auto"/>
        <w:ind w:left="426" w:hanging="426"/>
        <w:jc w:val="both"/>
      </w:pPr>
      <w:r w:rsidRPr="002D5927">
        <w:t>Peña-</w:t>
      </w:r>
      <w:proofErr w:type="spellStart"/>
      <w:r w:rsidRPr="002D5927">
        <w:t>Datoli</w:t>
      </w:r>
      <w:proofErr w:type="spellEnd"/>
      <w:r w:rsidRPr="002D5927">
        <w:t xml:space="preserve">, M., Hidalgo-Moreno, CM., González-Hernández, VA., Alcántar-González, EG., </w:t>
      </w:r>
      <w:proofErr w:type="spellStart"/>
      <w:r w:rsidRPr="002D5927">
        <w:t>Etchevers</w:t>
      </w:r>
      <w:proofErr w:type="spellEnd"/>
      <w:r w:rsidRPr="002D5927">
        <w:t xml:space="preserve">-Barra, JD. 2016. Recubrimiento de semillas de maíz (Zea </w:t>
      </w:r>
      <w:proofErr w:type="spellStart"/>
      <w:r w:rsidRPr="002D5927">
        <w:t>mays</w:t>
      </w:r>
      <w:proofErr w:type="spellEnd"/>
      <w:r w:rsidRPr="002D5927">
        <w:t xml:space="preserve"> L.) con quitosano y alginato de sodio y su efecto en </w:t>
      </w:r>
      <w:proofErr w:type="gramStart"/>
      <w:r w:rsidRPr="002D5927">
        <w:t>el  desarrollo</w:t>
      </w:r>
      <w:proofErr w:type="gramEnd"/>
      <w:r w:rsidRPr="002D5927">
        <w:t xml:space="preserve"> radical. </w:t>
      </w:r>
      <w:proofErr w:type="spellStart"/>
      <w:r w:rsidRPr="002D5927">
        <w:t>Agrociencia</w:t>
      </w:r>
      <w:proofErr w:type="spellEnd"/>
      <w:r w:rsidRPr="002D5927">
        <w:t>. 2016;50(8):1091-106.</w:t>
      </w:r>
    </w:p>
    <w:p w14:paraId="0F3B9579" w14:textId="07BCB20E" w:rsidR="00EF0E16" w:rsidRPr="002D5927" w:rsidRDefault="00EF0E16" w:rsidP="00FB2572">
      <w:pPr>
        <w:spacing w:line="360" w:lineRule="auto"/>
        <w:ind w:left="426" w:hanging="426"/>
        <w:jc w:val="both"/>
      </w:pPr>
      <w:r w:rsidRPr="002D5927">
        <w:t xml:space="preserve">Ponce, M., R. Ortiz, C. de la </w:t>
      </w:r>
      <w:proofErr w:type="spellStart"/>
      <w:r w:rsidRPr="002D5927">
        <w:t>Fé</w:t>
      </w:r>
      <w:proofErr w:type="spellEnd"/>
      <w:r w:rsidRPr="002D5927">
        <w:t xml:space="preserve"> y C. Moya. 2002. Estudio comparativo de nuevas variedades de soya (</w:t>
      </w:r>
      <w:proofErr w:type="spellStart"/>
      <w:r w:rsidRPr="002D5927">
        <w:rPr>
          <w:i/>
        </w:rPr>
        <w:t>Glycine</w:t>
      </w:r>
      <w:proofErr w:type="spellEnd"/>
      <w:r w:rsidRPr="002D5927">
        <w:rPr>
          <w:i/>
        </w:rPr>
        <w:t xml:space="preserve"> </w:t>
      </w:r>
      <w:proofErr w:type="spellStart"/>
      <w:r w:rsidRPr="002D5927">
        <w:rPr>
          <w:i/>
        </w:rPr>
        <w:t>max</w:t>
      </w:r>
      <w:proofErr w:type="spellEnd"/>
      <w:r w:rsidRPr="002D5927">
        <w:t xml:space="preserve"> L. </w:t>
      </w:r>
      <w:proofErr w:type="spellStart"/>
      <w:r w:rsidRPr="002D5927">
        <w:t>Merr</w:t>
      </w:r>
      <w:proofErr w:type="spellEnd"/>
      <w:r w:rsidRPr="002D5927">
        <w:t>.) para las condiciones de primavera en Cuba. Cultivos Tropicales, 2002, vol. 23, no. 2, p. 55-58.</w:t>
      </w:r>
    </w:p>
    <w:p w14:paraId="7BE1F502" w14:textId="2450676D" w:rsidR="00EF0E16" w:rsidRPr="002D5927" w:rsidRDefault="00EF0E16" w:rsidP="00FB2572">
      <w:pPr>
        <w:spacing w:line="360" w:lineRule="auto"/>
        <w:ind w:left="426" w:hanging="426"/>
        <w:jc w:val="both"/>
      </w:pPr>
      <w:r w:rsidRPr="002D5927">
        <w:t xml:space="preserve">Toledo, D., y Osa, Y. 2020. Soya, nuevas variedades para las condiciones edafoclimáticas de Cuba. Programa Nacional de Variedades de soya. </w:t>
      </w:r>
      <w:proofErr w:type="spellStart"/>
      <w:r w:rsidRPr="002D5927">
        <w:t>Mnisterio</w:t>
      </w:r>
      <w:proofErr w:type="spellEnd"/>
      <w:r w:rsidRPr="002D5927">
        <w:t xml:space="preserve"> de la Agricultura. La Habana.</w:t>
      </w:r>
    </w:p>
    <w:sectPr w:rsidR="00EF0E16" w:rsidRPr="002D5927" w:rsidSect="00454E8E">
      <w:headerReference w:type="default" r:id="rId26"/>
      <w:footerReference w:type="default" r:id="rId27"/>
      <w:type w:val="continuous"/>
      <w:pgSz w:w="12241" w:h="15842" w:code="1"/>
      <w:pgMar w:top="1440" w:right="1440" w:bottom="1440" w:left="144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2DCC" w14:textId="77777777" w:rsidR="00FB2572" w:rsidRDefault="00FB2572" w:rsidP="00FB2572">
      <w:r>
        <w:separator/>
      </w:r>
    </w:p>
  </w:endnote>
  <w:endnote w:type="continuationSeparator" w:id="0">
    <w:p w14:paraId="5874643C" w14:textId="77777777" w:rsidR="00FB2572" w:rsidRDefault="00FB2572" w:rsidP="00FB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D186" w14:textId="706D2840" w:rsidR="00FB2572" w:rsidRPr="00FB2572" w:rsidRDefault="005748E8" w:rsidP="00FB2572">
    <w:pPr>
      <w:pStyle w:val="Piedepgina"/>
      <w:jc w:val="right"/>
      <w:rPr>
        <w:b/>
        <w:bCs/>
        <w:i/>
        <w:iCs/>
      </w:rPr>
    </w:pPr>
    <w:hyperlink r:id="rId1" w:history="1">
      <w:r w:rsidR="00FB2572" w:rsidRPr="001A5AD4">
        <w:rPr>
          <w:rStyle w:val="Hipervnculo"/>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D300F" w14:textId="77777777" w:rsidR="00FB2572" w:rsidRDefault="00FB2572" w:rsidP="00FB2572">
      <w:r>
        <w:separator/>
      </w:r>
    </w:p>
  </w:footnote>
  <w:footnote w:type="continuationSeparator" w:id="0">
    <w:p w14:paraId="350C8B9F" w14:textId="77777777" w:rsidR="00FB2572" w:rsidRDefault="00FB2572" w:rsidP="00FB2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4D6A" w14:textId="22A47FEE" w:rsidR="00FB2572" w:rsidRPr="00FB2572" w:rsidRDefault="00FB2572" w:rsidP="00FB2572">
    <w:pPr>
      <w:pStyle w:val="Encabezado"/>
      <w:jc w:val="right"/>
      <w:rPr>
        <w:b/>
        <w:bCs/>
        <w:i/>
        <w:iCs/>
        <w:sz w:val="22"/>
        <w:szCs w:val="22"/>
      </w:rPr>
    </w:pPr>
    <w:r w:rsidRPr="00D422D9">
      <w:rPr>
        <w:b/>
        <w:bCs/>
        <w:i/>
        <w:iCs/>
        <w:sz w:val="22"/>
        <w:szCs w:val="22"/>
      </w:rPr>
      <w:t xml:space="preserve">Revista “Chone, Ciencia y Tecnología”. Vol.4, Nro1. Enero – </w:t>
    </w:r>
    <w:proofErr w:type="gramStart"/>
    <w:r w:rsidRPr="00D422D9">
      <w:rPr>
        <w:b/>
        <w:bCs/>
        <w:i/>
        <w:iCs/>
        <w:sz w:val="22"/>
        <w:szCs w:val="22"/>
      </w:rPr>
      <w:t>Junio</w:t>
    </w:r>
    <w:proofErr w:type="gramEnd"/>
    <w:r w:rsidRPr="00D422D9">
      <w:rPr>
        <w:b/>
        <w:bCs/>
        <w:i/>
        <w:iCs/>
        <w:sz w:val="22"/>
        <w:szCs w:val="22"/>
      </w:rPr>
      <w:t xml:space="preserve"> de 2026.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A4AE5"/>
    <w:multiLevelType w:val="hybridMultilevel"/>
    <w:tmpl w:val="EEA608B8"/>
    <w:lvl w:ilvl="0" w:tplc="E2B27FAC">
      <w:start w:val="1"/>
      <w:numFmt w:val="decimal"/>
      <w:lvlText w:val="%1)"/>
      <w:lvlJc w:val="left"/>
      <w:pPr>
        <w:tabs>
          <w:tab w:val="num" w:pos="720"/>
        </w:tabs>
        <w:ind w:left="720" w:hanging="360"/>
      </w:pPr>
    </w:lvl>
    <w:lvl w:ilvl="1" w:tplc="81C4BF26" w:tentative="1">
      <w:start w:val="1"/>
      <w:numFmt w:val="decimal"/>
      <w:lvlText w:val="%2)"/>
      <w:lvlJc w:val="left"/>
      <w:pPr>
        <w:tabs>
          <w:tab w:val="num" w:pos="1440"/>
        </w:tabs>
        <w:ind w:left="1440" w:hanging="360"/>
      </w:pPr>
    </w:lvl>
    <w:lvl w:ilvl="2" w:tplc="885A8B3A" w:tentative="1">
      <w:start w:val="1"/>
      <w:numFmt w:val="decimal"/>
      <w:lvlText w:val="%3)"/>
      <w:lvlJc w:val="left"/>
      <w:pPr>
        <w:tabs>
          <w:tab w:val="num" w:pos="2160"/>
        </w:tabs>
        <w:ind w:left="2160" w:hanging="360"/>
      </w:pPr>
    </w:lvl>
    <w:lvl w:ilvl="3" w:tplc="D012DCE6" w:tentative="1">
      <w:start w:val="1"/>
      <w:numFmt w:val="decimal"/>
      <w:lvlText w:val="%4)"/>
      <w:lvlJc w:val="left"/>
      <w:pPr>
        <w:tabs>
          <w:tab w:val="num" w:pos="2880"/>
        </w:tabs>
        <w:ind w:left="2880" w:hanging="360"/>
      </w:pPr>
    </w:lvl>
    <w:lvl w:ilvl="4" w:tplc="0C080F32" w:tentative="1">
      <w:start w:val="1"/>
      <w:numFmt w:val="decimal"/>
      <w:lvlText w:val="%5)"/>
      <w:lvlJc w:val="left"/>
      <w:pPr>
        <w:tabs>
          <w:tab w:val="num" w:pos="3600"/>
        </w:tabs>
        <w:ind w:left="3600" w:hanging="360"/>
      </w:pPr>
    </w:lvl>
    <w:lvl w:ilvl="5" w:tplc="30B03404" w:tentative="1">
      <w:start w:val="1"/>
      <w:numFmt w:val="decimal"/>
      <w:lvlText w:val="%6)"/>
      <w:lvlJc w:val="left"/>
      <w:pPr>
        <w:tabs>
          <w:tab w:val="num" w:pos="4320"/>
        </w:tabs>
        <w:ind w:left="4320" w:hanging="360"/>
      </w:pPr>
    </w:lvl>
    <w:lvl w:ilvl="6" w:tplc="F8D6D86C" w:tentative="1">
      <w:start w:val="1"/>
      <w:numFmt w:val="decimal"/>
      <w:lvlText w:val="%7)"/>
      <w:lvlJc w:val="left"/>
      <w:pPr>
        <w:tabs>
          <w:tab w:val="num" w:pos="5040"/>
        </w:tabs>
        <w:ind w:left="5040" w:hanging="360"/>
      </w:pPr>
    </w:lvl>
    <w:lvl w:ilvl="7" w:tplc="48A68650" w:tentative="1">
      <w:start w:val="1"/>
      <w:numFmt w:val="decimal"/>
      <w:lvlText w:val="%8)"/>
      <w:lvlJc w:val="left"/>
      <w:pPr>
        <w:tabs>
          <w:tab w:val="num" w:pos="5760"/>
        </w:tabs>
        <w:ind w:left="5760" w:hanging="360"/>
      </w:pPr>
    </w:lvl>
    <w:lvl w:ilvl="8" w:tplc="2BE09622" w:tentative="1">
      <w:start w:val="1"/>
      <w:numFmt w:val="decimal"/>
      <w:lvlText w:val="%9)"/>
      <w:lvlJc w:val="left"/>
      <w:pPr>
        <w:tabs>
          <w:tab w:val="num" w:pos="6480"/>
        </w:tabs>
        <w:ind w:left="6480" w:hanging="360"/>
      </w:pPr>
    </w:lvl>
  </w:abstractNum>
  <w:abstractNum w:abstractNumId="1" w15:restartNumberingAfterBreak="0">
    <w:nsid w:val="26A242C7"/>
    <w:multiLevelType w:val="hybridMultilevel"/>
    <w:tmpl w:val="07A20D8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278726C3"/>
    <w:multiLevelType w:val="hybridMultilevel"/>
    <w:tmpl w:val="8C8C4C7C"/>
    <w:lvl w:ilvl="0" w:tplc="5C0A0001">
      <w:start w:val="1"/>
      <w:numFmt w:val="bullet"/>
      <w:lvlText w:val=""/>
      <w:lvlJc w:val="left"/>
      <w:pPr>
        <w:tabs>
          <w:tab w:val="num" w:pos="720"/>
        </w:tabs>
        <w:ind w:left="720" w:hanging="360"/>
      </w:pPr>
      <w:rPr>
        <w:rFonts w:ascii="Symbol" w:hAnsi="Symbol" w:hint="default"/>
      </w:rPr>
    </w:lvl>
    <w:lvl w:ilvl="1" w:tplc="81C4BF26" w:tentative="1">
      <w:start w:val="1"/>
      <w:numFmt w:val="decimal"/>
      <w:lvlText w:val="%2)"/>
      <w:lvlJc w:val="left"/>
      <w:pPr>
        <w:tabs>
          <w:tab w:val="num" w:pos="1440"/>
        </w:tabs>
        <w:ind w:left="1440" w:hanging="360"/>
      </w:pPr>
    </w:lvl>
    <w:lvl w:ilvl="2" w:tplc="885A8B3A" w:tentative="1">
      <w:start w:val="1"/>
      <w:numFmt w:val="decimal"/>
      <w:lvlText w:val="%3)"/>
      <w:lvlJc w:val="left"/>
      <w:pPr>
        <w:tabs>
          <w:tab w:val="num" w:pos="2160"/>
        </w:tabs>
        <w:ind w:left="2160" w:hanging="360"/>
      </w:pPr>
    </w:lvl>
    <w:lvl w:ilvl="3" w:tplc="D012DCE6" w:tentative="1">
      <w:start w:val="1"/>
      <w:numFmt w:val="decimal"/>
      <w:lvlText w:val="%4)"/>
      <w:lvlJc w:val="left"/>
      <w:pPr>
        <w:tabs>
          <w:tab w:val="num" w:pos="2880"/>
        </w:tabs>
        <w:ind w:left="2880" w:hanging="360"/>
      </w:pPr>
    </w:lvl>
    <w:lvl w:ilvl="4" w:tplc="0C080F32" w:tentative="1">
      <w:start w:val="1"/>
      <w:numFmt w:val="decimal"/>
      <w:lvlText w:val="%5)"/>
      <w:lvlJc w:val="left"/>
      <w:pPr>
        <w:tabs>
          <w:tab w:val="num" w:pos="3600"/>
        </w:tabs>
        <w:ind w:left="3600" w:hanging="360"/>
      </w:pPr>
    </w:lvl>
    <w:lvl w:ilvl="5" w:tplc="30B03404" w:tentative="1">
      <w:start w:val="1"/>
      <w:numFmt w:val="decimal"/>
      <w:lvlText w:val="%6)"/>
      <w:lvlJc w:val="left"/>
      <w:pPr>
        <w:tabs>
          <w:tab w:val="num" w:pos="4320"/>
        </w:tabs>
        <w:ind w:left="4320" w:hanging="360"/>
      </w:pPr>
    </w:lvl>
    <w:lvl w:ilvl="6" w:tplc="F8D6D86C" w:tentative="1">
      <w:start w:val="1"/>
      <w:numFmt w:val="decimal"/>
      <w:lvlText w:val="%7)"/>
      <w:lvlJc w:val="left"/>
      <w:pPr>
        <w:tabs>
          <w:tab w:val="num" w:pos="5040"/>
        </w:tabs>
        <w:ind w:left="5040" w:hanging="360"/>
      </w:pPr>
    </w:lvl>
    <w:lvl w:ilvl="7" w:tplc="48A68650" w:tentative="1">
      <w:start w:val="1"/>
      <w:numFmt w:val="decimal"/>
      <w:lvlText w:val="%8)"/>
      <w:lvlJc w:val="left"/>
      <w:pPr>
        <w:tabs>
          <w:tab w:val="num" w:pos="5760"/>
        </w:tabs>
        <w:ind w:left="5760" w:hanging="360"/>
      </w:pPr>
    </w:lvl>
    <w:lvl w:ilvl="8" w:tplc="2BE09622" w:tentative="1">
      <w:start w:val="1"/>
      <w:numFmt w:val="decimal"/>
      <w:lvlText w:val="%9)"/>
      <w:lvlJc w:val="left"/>
      <w:pPr>
        <w:tabs>
          <w:tab w:val="num" w:pos="6480"/>
        </w:tabs>
        <w:ind w:left="6480" w:hanging="360"/>
      </w:pPr>
    </w:lvl>
  </w:abstractNum>
  <w:abstractNum w:abstractNumId="3" w15:restartNumberingAfterBreak="0">
    <w:nsid w:val="2E7F6E01"/>
    <w:multiLevelType w:val="hybridMultilevel"/>
    <w:tmpl w:val="EF4E112C"/>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312BB1"/>
    <w:multiLevelType w:val="hybridMultilevel"/>
    <w:tmpl w:val="D272F7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3652CA"/>
    <w:multiLevelType w:val="hybridMultilevel"/>
    <w:tmpl w:val="254E7AEC"/>
    <w:lvl w:ilvl="0" w:tplc="AA0E531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02F0D89"/>
    <w:multiLevelType w:val="hybridMultilevel"/>
    <w:tmpl w:val="D61444A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78F11AD5"/>
    <w:multiLevelType w:val="hybridMultilevel"/>
    <w:tmpl w:val="7FBCEE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0"/>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drawingGridHorizontalSpacing w:val="105"/>
  <w:drawingGridVerticalSpacing w:val="14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53"/>
    <w:rsid w:val="000059E4"/>
    <w:rsid w:val="00052CBA"/>
    <w:rsid w:val="000830AF"/>
    <w:rsid w:val="000925E1"/>
    <w:rsid w:val="000B5E50"/>
    <w:rsid w:val="000C5EF9"/>
    <w:rsid w:val="000F39D0"/>
    <w:rsid w:val="001608EA"/>
    <w:rsid w:val="00160F5B"/>
    <w:rsid w:val="001813E7"/>
    <w:rsid w:val="001862DF"/>
    <w:rsid w:val="0019725C"/>
    <w:rsid w:val="001A3660"/>
    <w:rsid w:val="001C0C33"/>
    <w:rsid w:val="001D0BB9"/>
    <w:rsid w:val="001E0897"/>
    <w:rsid w:val="001F1578"/>
    <w:rsid w:val="001F4A69"/>
    <w:rsid w:val="0021075B"/>
    <w:rsid w:val="0021230B"/>
    <w:rsid w:val="00223A24"/>
    <w:rsid w:val="002240AD"/>
    <w:rsid w:val="00234280"/>
    <w:rsid w:val="002410A5"/>
    <w:rsid w:val="002A7193"/>
    <w:rsid w:val="002B04EC"/>
    <w:rsid w:val="002C3B3F"/>
    <w:rsid w:val="002D5927"/>
    <w:rsid w:val="002E1835"/>
    <w:rsid w:val="002E466C"/>
    <w:rsid w:val="002F6B0C"/>
    <w:rsid w:val="0030303B"/>
    <w:rsid w:val="00312D49"/>
    <w:rsid w:val="003234B9"/>
    <w:rsid w:val="003A0989"/>
    <w:rsid w:val="003D246E"/>
    <w:rsid w:val="003E21BE"/>
    <w:rsid w:val="003F0CE0"/>
    <w:rsid w:val="003F64CA"/>
    <w:rsid w:val="00403B72"/>
    <w:rsid w:val="00421F96"/>
    <w:rsid w:val="00454E8E"/>
    <w:rsid w:val="004C2841"/>
    <w:rsid w:val="004D6870"/>
    <w:rsid w:val="004E62F6"/>
    <w:rsid w:val="004F0ADA"/>
    <w:rsid w:val="004F29EF"/>
    <w:rsid w:val="00502F4D"/>
    <w:rsid w:val="00510364"/>
    <w:rsid w:val="00523243"/>
    <w:rsid w:val="00526FF6"/>
    <w:rsid w:val="00537E80"/>
    <w:rsid w:val="00543500"/>
    <w:rsid w:val="00545D5C"/>
    <w:rsid w:val="005748E8"/>
    <w:rsid w:val="005842EE"/>
    <w:rsid w:val="005A6BD9"/>
    <w:rsid w:val="005D1D06"/>
    <w:rsid w:val="005D2818"/>
    <w:rsid w:val="005D4346"/>
    <w:rsid w:val="005E650A"/>
    <w:rsid w:val="0060053D"/>
    <w:rsid w:val="0060558B"/>
    <w:rsid w:val="00632A9F"/>
    <w:rsid w:val="00650C86"/>
    <w:rsid w:val="00654A29"/>
    <w:rsid w:val="0068476C"/>
    <w:rsid w:val="006910F3"/>
    <w:rsid w:val="00706DA5"/>
    <w:rsid w:val="007127B4"/>
    <w:rsid w:val="00714A48"/>
    <w:rsid w:val="007311E6"/>
    <w:rsid w:val="00737E58"/>
    <w:rsid w:val="00743450"/>
    <w:rsid w:val="00743E66"/>
    <w:rsid w:val="00754E43"/>
    <w:rsid w:val="007555D0"/>
    <w:rsid w:val="007728DF"/>
    <w:rsid w:val="00775F6B"/>
    <w:rsid w:val="00776A53"/>
    <w:rsid w:val="007C0321"/>
    <w:rsid w:val="007F22F1"/>
    <w:rsid w:val="008A1126"/>
    <w:rsid w:val="008A2D28"/>
    <w:rsid w:val="008A42C1"/>
    <w:rsid w:val="008B3D58"/>
    <w:rsid w:val="008C27C7"/>
    <w:rsid w:val="008C36B6"/>
    <w:rsid w:val="008C3F8F"/>
    <w:rsid w:val="008D1F60"/>
    <w:rsid w:val="008F4D25"/>
    <w:rsid w:val="009023A6"/>
    <w:rsid w:val="00902975"/>
    <w:rsid w:val="00917123"/>
    <w:rsid w:val="00922EB9"/>
    <w:rsid w:val="00952A95"/>
    <w:rsid w:val="009975CD"/>
    <w:rsid w:val="009B0EAD"/>
    <w:rsid w:val="009D0A8C"/>
    <w:rsid w:val="009D1517"/>
    <w:rsid w:val="009E042A"/>
    <w:rsid w:val="009E4E25"/>
    <w:rsid w:val="009F6A88"/>
    <w:rsid w:val="00A66025"/>
    <w:rsid w:val="00A90BA1"/>
    <w:rsid w:val="00AC2B61"/>
    <w:rsid w:val="00AE0C06"/>
    <w:rsid w:val="00AF7C9E"/>
    <w:rsid w:val="00B30BFF"/>
    <w:rsid w:val="00B42B84"/>
    <w:rsid w:val="00B42BEF"/>
    <w:rsid w:val="00B450D1"/>
    <w:rsid w:val="00B54DEB"/>
    <w:rsid w:val="00B828D2"/>
    <w:rsid w:val="00BD0B9A"/>
    <w:rsid w:val="00BE2713"/>
    <w:rsid w:val="00BF021F"/>
    <w:rsid w:val="00C006DD"/>
    <w:rsid w:val="00C11CE3"/>
    <w:rsid w:val="00C35D26"/>
    <w:rsid w:val="00C5348A"/>
    <w:rsid w:val="00C54464"/>
    <w:rsid w:val="00C6154D"/>
    <w:rsid w:val="00C70FDF"/>
    <w:rsid w:val="00CC3BF8"/>
    <w:rsid w:val="00D06691"/>
    <w:rsid w:val="00D14664"/>
    <w:rsid w:val="00D17D61"/>
    <w:rsid w:val="00D24850"/>
    <w:rsid w:val="00D760E6"/>
    <w:rsid w:val="00D82844"/>
    <w:rsid w:val="00D852ED"/>
    <w:rsid w:val="00D97F36"/>
    <w:rsid w:val="00DC1F5B"/>
    <w:rsid w:val="00DC7368"/>
    <w:rsid w:val="00E134CB"/>
    <w:rsid w:val="00E51A2D"/>
    <w:rsid w:val="00E57729"/>
    <w:rsid w:val="00E67C2E"/>
    <w:rsid w:val="00E75D6D"/>
    <w:rsid w:val="00EB6BCE"/>
    <w:rsid w:val="00EF0E16"/>
    <w:rsid w:val="00F14AD4"/>
    <w:rsid w:val="00F33293"/>
    <w:rsid w:val="00F647FF"/>
    <w:rsid w:val="00F77A31"/>
    <w:rsid w:val="00F81F40"/>
    <w:rsid w:val="00F82BFA"/>
    <w:rsid w:val="00F85BE3"/>
    <w:rsid w:val="00F90889"/>
    <w:rsid w:val="00FB13D3"/>
    <w:rsid w:val="00FB2572"/>
    <w:rsid w:val="00FF37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46EF"/>
  <w15:docId w15:val="{F9B4DC56-D90D-4B7D-9CBA-15DA4C8E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line="360" w:lineRule="auto"/>
        <w:ind w:left="96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A69"/>
    <w:pPr>
      <w:spacing w:line="240" w:lineRule="auto"/>
      <w:ind w:left="0"/>
      <w:jc w:val="left"/>
    </w:pPr>
    <w:rPr>
      <w:rFonts w:ascii="Times New Roman" w:eastAsia="Times New Roman" w:hAnsi="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F0E16"/>
    <w:pPr>
      <w:spacing w:line="360" w:lineRule="auto"/>
      <w:ind w:left="964"/>
      <w:jc w:val="both"/>
    </w:pPr>
    <w:rPr>
      <w:rFonts w:eastAsia="Calibri"/>
      <w:lang w:eastAsia="en-US"/>
    </w:rPr>
  </w:style>
  <w:style w:type="character" w:styleId="Hipervnculo">
    <w:name w:val="Hyperlink"/>
    <w:basedOn w:val="Fuentedeprrafopredeter"/>
    <w:uiPriority w:val="99"/>
    <w:unhideWhenUsed/>
    <w:rsid w:val="00B42BEF"/>
    <w:rPr>
      <w:color w:val="0000FF" w:themeColor="hyperlink"/>
      <w:u w:val="single"/>
    </w:rPr>
  </w:style>
  <w:style w:type="character" w:customStyle="1" w:styleId="hwtze">
    <w:name w:val="hwtze"/>
    <w:basedOn w:val="Fuentedeprrafopredeter"/>
    <w:rsid w:val="001F4A69"/>
  </w:style>
  <w:style w:type="character" w:customStyle="1" w:styleId="rynqvb">
    <w:name w:val="rynqvb"/>
    <w:basedOn w:val="Fuentedeprrafopredeter"/>
    <w:rsid w:val="001F4A69"/>
  </w:style>
  <w:style w:type="character" w:customStyle="1" w:styleId="qgyq3b">
    <w:name w:val="qgyq3b"/>
    <w:basedOn w:val="Fuentedeprrafopredeter"/>
    <w:rsid w:val="001F4A69"/>
  </w:style>
  <w:style w:type="character" w:customStyle="1" w:styleId="Mencinsinresolver1">
    <w:name w:val="Mención sin resolver1"/>
    <w:basedOn w:val="Fuentedeprrafopredeter"/>
    <w:uiPriority w:val="99"/>
    <w:semiHidden/>
    <w:unhideWhenUsed/>
    <w:rsid w:val="00454E8E"/>
    <w:rPr>
      <w:color w:val="605E5C"/>
      <w:shd w:val="clear" w:color="auto" w:fill="E1DFDD"/>
    </w:rPr>
  </w:style>
  <w:style w:type="character" w:styleId="Refdecomentario">
    <w:name w:val="annotation reference"/>
    <w:basedOn w:val="Fuentedeprrafopredeter"/>
    <w:uiPriority w:val="99"/>
    <w:semiHidden/>
    <w:unhideWhenUsed/>
    <w:rsid w:val="00743450"/>
    <w:rPr>
      <w:sz w:val="16"/>
      <w:szCs w:val="16"/>
    </w:rPr>
  </w:style>
  <w:style w:type="paragraph" w:styleId="Textocomentario">
    <w:name w:val="annotation text"/>
    <w:basedOn w:val="Normal"/>
    <w:link w:val="TextocomentarioCar"/>
    <w:uiPriority w:val="99"/>
    <w:semiHidden/>
    <w:unhideWhenUsed/>
    <w:rsid w:val="00743450"/>
    <w:rPr>
      <w:sz w:val="20"/>
      <w:szCs w:val="20"/>
    </w:rPr>
  </w:style>
  <w:style w:type="character" w:customStyle="1" w:styleId="TextocomentarioCar">
    <w:name w:val="Texto comentario Car"/>
    <w:basedOn w:val="Fuentedeprrafopredeter"/>
    <w:link w:val="Textocomentario"/>
    <w:uiPriority w:val="99"/>
    <w:semiHidden/>
    <w:rsid w:val="0074345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43450"/>
    <w:rPr>
      <w:b/>
      <w:bCs/>
    </w:rPr>
  </w:style>
  <w:style w:type="character" w:customStyle="1" w:styleId="AsuntodelcomentarioCar">
    <w:name w:val="Asunto del comentario Car"/>
    <w:basedOn w:val="TextocomentarioCar"/>
    <w:link w:val="Asuntodelcomentario"/>
    <w:uiPriority w:val="99"/>
    <w:semiHidden/>
    <w:rsid w:val="00743450"/>
    <w:rPr>
      <w:rFonts w:ascii="Times New Roman" w:eastAsia="Times New Roman" w:hAnsi="Times New Roman" w:cs="Times New Roman"/>
      <w:b/>
      <w:bCs/>
      <w:sz w:val="20"/>
      <w:szCs w:val="20"/>
      <w:lang w:eastAsia="es-ES"/>
    </w:rPr>
  </w:style>
  <w:style w:type="paragraph" w:styleId="Prrafodelista">
    <w:name w:val="List Paragraph"/>
    <w:basedOn w:val="Normal"/>
    <w:uiPriority w:val="34"/>
    <w:qFormat/>
    <w:rsid w:val="00AE0C06"/>
    <w:pPr>
      <w:ind w:left="720"/>
      <w:contextualSpacing/>
    </w:pPr>
  </w:style>
  <w:style w:type="paragraph" w:styleId="Textodeglobo">
    <w:name w:val="Balloon Text"/>
    <w:basedOn w:val="Normal"/>
    <w:link w:val="TextodegloboCar"/>
    <w:uiPriority w:val="99"/>
    <w:semiHidden/>
    <w:unhideWhenUsed/>
    <w:rsid w:val="00D146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4664"/>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FB2572"/>
    <w:pPr>
      <w:tabs>
        <w:tab w:val="center" w:pos="4252"/>
        <w:tab w:val="right" w:pos="8504"/>
      </w:tabs>
    </w:pPr>
  </w:style>
  <w:style w:type="character" w:customStyle="1" w:styleId="EncabezadoCar">
    <w:name w:val="Encabezado Car"/>
    <w:basedOn w:val="Fuentedeprrafopredeter"/>
    <w:link w:val="Encabezado"/>
    <w:uiPriority w:val="99"/>
    <w:rsid w:val="00FB2572"/>
    <w:rPr>
      <w:rFonts w:ascii="Times New Roman" w:eastAsia="Times New Roman" w:hAnsi="Times New Roman" w:cs="Times New Roman"/>
      <w:szCs w:val="24"/>
      <w:lang w:eastAsia="es-ES"/>
    </w:rPr>
  </w:style>
  <w:style w:type="paragraph" w:styleId="Piedepgina">
    <w:name w:val="footer"/>
    <w:basedOn w:val="Normal"/>
    <w:link w:val="PiedepginaCar"/>
    <w:uiPriority w:val="99"/>
    <w:unhideWhenUsed/>
    <w:rsid w:val="00FB2572"/>
    <w:pPr>
      <w:tabs>
        <w:tab w:val="center" w:pos="4252"/>
        <w:tab w:val="right" w:pos="8504"/>
      </w:tabs>
    </w:pPr>
  </w:style>
  <w:style w:type="character" w:customStyle="1" w:styleId="PiedepginaCar">
    <w:name w:val="Pie de página Car"/>
    <w:basedOn w:val="Fuentedeprrafopredeter"/>
    <w:link w:val="Piedepgina"/>
    <w:uiPriority w:val="99"/>
    <w:rsid w:val="00FB2572"/>
    <w:rPr>
      <w:rFonts w:ascii="Times New Roman" w:eastAsia="Times New Roman" w:hAnsi="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868663">
      <w:bodyDiv w:val="1"/>
      <w:marLeft w:val="0"/>
      <w:marRight w:val="0"/>
      <w:marTop w:val="0"/>
      <w:marBottom w:val="0"/>
      <w:divBdr>
        <w:top w:val="none" w:sz="0" w:space="0" w:color="auto"/>
        <w:left w:val="none" w:sz="0" w:space="0" w:color="auto"/>
        <w:bottom w:val="none" w:sz="0" w:space="0" w:color="auto"/>
        <w:right w:val="none" w:sz="0" w:space="0" w:color="auto"/>
      </w:divBdr>
      <w:divsChild>
        <w:div w:id="1614747713">
          <w:marLeft w:val="0"/>
          <w:marRight w:val="0"/>
          <w:marTop w:val="0"/>
          <w:marBottom w:val="0"/>
          <w:divBdr>
            <w:top w:val="none" w:sz="0" w:space="0" w:color="auto"/>
            <w:left w:val="none" w:sz="0" w:space="0" w:color="auto"/>
            <w:bottom w:val="none" w:sz="0" w:space="0" w:color="auto"/>
            <w:right w:val="none" w:sz="0" w:space="0" w:color="auto"/>
          </w:divBdr>
        </w:div>
        <w:div w:id="1803764979">
          <w:marLeft w:val="0"/>
          <w:marRight w:val="0"/>
          <w:marTop w:val="0"/>
          <w:marBottom w:val="0"/>
          <w:divBdr>
            <w:top w:val="none" w:sz="0" w:space="0" w:color="auto"/>
            <w:left w:val="none" w:sz="0" w:space="0" w:color="auto"/>
            <w:bottom w:val="none" w:sz="0" w:space="0" w:color="auto"/>
            <w:right w:val="none" w:sz="0" w:space="0" w:color="auto"/>
          </w:divBdr>
          <w:divsChild>
            <w:div w:id="1777677352">
              <w:marLeft w:val="0"/>
              <w:marRight w:val="0"/>
              <w:marTop w:val="0"/>
              <w:marBottom w:val="0"/>
              <w:divBdr>
                <w:top w:val="none" w:sz="0" w:space="0" w:color="auto"/>
                <w:left w:val="none" w:sz="0" w:space="0" w:color="auto"/>
                <w:bottom w:val="none" w:sz="0" w:space="0" w:color="auto"/>
                <w:right w:val="none" w:sz="0" w:space="0" w:color="auto"/>
              </w:divBdr>
              <w:divsChild>
                <w:div w:id="1060831655">
                  <w:marLeft w:val="0"/>
                  <w:marRight w:val="0"/>
                  <w:marTop w:val="0"/>
                  <w:marBottom w:val="0"/>
                  <w:divBdr>
                    <w:top w:val="none" w:sz="0" w:space="0" w:color="auto"/>
                    <w:left w:val="none" w:sz="0" w:space="0" w:color="auto"/>
                    <w:bottom w:val="none" w:sz="0" w:space="0" w:color="auto"/>
                    <w:right w:val="none" w:sz="0" w:space="0" w:color="auto"/>
                  </w:divBdr>
                  <w:divsChild>
                    <w:div w:id="1766148059">
                      <w:marLeft w:val="0"/>
                      <w:marRight w:val="0"/>
                      <w:marTop w:val="0"/>
                      <w:marBottom w:val="0"/>
                      <w:divBdr>
                        <w:top w:val="none" w:sz="0" w:space="0" w:color="auto"/>
                        <w:left w:val="none" w:sz="0" w:space="0" w:color="auto"/>
                        <w:bottom w:val="none" w:sz="0" w:space="0" w:color="auto"/>
                        <w:right w:val="none" w:sz="0" w:space="0" w:color="auto"/>
                      </w:divBdr>
                      <w:divsChild>
                        <w:div w:id="19075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1-0116-5179" TargetMode="External"/><Relationship Id="rId13" Type="http://schemas.openxmlformats.org/officeDocument/2006/relationships/hyperlink" Target="mailto:atorresme@estudiantes.udg.co.cu"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ielo.sld.cu/scielo.php?script=sci_arttext&amp;pid=S0258-59362020000400007" TargetMode="External"/><Relationship Id="rId7" Type="http://schemas.openxmlformats.org/officeDocument/2006/relationships/endnotes" Target="endnotes.xml"/><Relationship Id="rId12" Type="http://schemas.openxmlformats.org/officeDocument/2006/relationships/hyperlink" Target="https://orcid.org/0000-0001-8585-5507" TargetMode="External"/><Relationship Id="rId17" Type="http://schemas.openxmlformats.org/officeDocument/2006/relationships/image" Target="media/image1.png"/><Relationship Id="rId25" Type="http://schemas.openxmlformats.org/officeDocument/2006/relationships/hyperlink" Target="https://www.redalyc.org/journal/2691/269173684020/movil/" TargetMode="External"/><Relationship Id="rId2" Type="http://schemas.openxmlformats.org/officeDocument/2006/relationships/numbering" Target="numbering.xml"/><Relationship Id="rId16" Type="http://schemas.openxmlformats.org/officeDocument/2006/relationships/hyperlink" Target="mailto:ggonzalezg@udg.co.cu" TargetMode="External"/><Relationship Id="rId20" Type="http://schemas.openxmlformats.org/officeDocument/2006/relationships/hyperlink" Target="https://doi.org/10.3389/fpls.2015%20.0067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onzalezg@udg.co.cu" TargetMode="External"/><Relationship Id="rId24" Type="http://schemas.openxmlformats.org/officeDocument/2006/relationships/hyperlink" Target="http://scielo.sld.cu/scielo.php?script=sci_arttext&amp;pid=S0258-362017000200017" TargetMode="External"/><Relationship Id="rId5" Type="http://schemas.openxmlformats.org/officeDocument/2006/relationships/webSettings" Target="webSettings.xml"/><Relationship Id="rId15" Type="http://schemas.openxmlformats.org/officeDocument/2006/relationships/hyperlink" Target="https://orcid.org/0000-0003-4650-4645" TargetMode="External"/><Relationship Id="rId23" Type="http://schemas.openxmlformats.org/officeDocument/2006/relationships/hyperlink" Target="http://www.oiapes.sagarhpa.sonora.gob.mx/paq-tec/paq-soya" TargetMode="External"/><Relationship Id="rId28" Type="http://schemas.openxmlformats.org/officeDocument/2006/relationships/fontTable" Target="fontTable.xml"/><Relationship Id="rId10" Type="http://schemas.openxmlformats.org/officeDocument/2006/relationships/hyperlink" Target="mailto:garcia.alvarez@uo.edu.cu" TargetMode="External"/><Relationship Id="rId19" Type="http://schemas.openxmlformats.org/officeDocument/2006/relationships/hyperlink" Target="https://dialnet.unirioja.es/servlet/articulo?codigo=5590922" TargetMode="External"/><Relationship Id="rId4" Type="http://schemas.openxmlformats.org/officeDocument/2006/relationships/settings" Target="settings.xml"/><Relationship Id="rId9" Type="http://schemas.openxmlformats.org/officeDocument/2006/relationships/hyperlink" Target="mailto:adoche.vidar@uo.edu.cu" TargetMode="External"/><Relationship Id="rId14" Type="http://schemas.openxmlformats.org/officeDocument/2006/relationships/hyperlink" Target="mailto:jesusalarconmendez.98@gmail.com" TargetMode="External"/><Relationship Id="rId22" Type="http://schemas.openxmlformats.org/officeDocument/2006/relationships/hyperlink" Target="http://www.infoagro.com/herbaceos/industriales/soja2.asp"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9ACBD-0F67-49A2-927F-CA6E2D81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4241</Words>
  <Characters>23330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Cheché</cp:lastModifiedBy>
  <cp:revision>8</cp:revision>
  <dcterms:created xsi:type="dcterms:W3CDTF">2026-04-23T10:07:00Z</dcterms:created>
  <dcterms:modified xsi:type="dcterms:W3CDTF">2026-04-23T10:27:00Z</dcterms:modified>
</cp:coreProperties>
</file>