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7B5DB" w14:textId="77777777" w:rsidR="0076249F" w:rsidRDefault="0076249F" w:rsidP="006F142B">
      <w:pPr>
        <w:spacing w:after="120" w:line="360" w:lineRule="auto"/>
        <w:jc w:val="both"/>
        <w:rPr>
          <w:rFonts w:ascii="Times New Roman" w:hAnsi="Times New Roman" w:cs="Times New Roman"/>
          <w:b/>
          <w:bCs/>
          <w:sz w:val="28"/>
          <w:szCs w:val="28"/>
        </w:rPr>
      </w:pPr>
      <w:r w:rsidRPr="0076249F">
        <w:rPr>
          <w:rFonts w:ascii="Times New Roman" w:hAnsi="Times New Roman" w:cs="Times New Roman"/>
          <w:b/>
          <w:bCs/>
          <w:sz w:val="28"/>
          <w:szCs w:val="28"/>
        </w:rPr>
        <w:t>Puntos de inflexión en la sostenibilidad forestal: Un análisis con DeepSeek- IA-V3 en Guisa (2013-2024)</w:t>
      </w:r>
    </w:p>
    <w:p w14:paraId="3A05CC52" w14:textId="7123F734" w:rsidR="0076249F" w:rsidRDefault="0076249F" w:rsidP="006F142B">
      <w:pPr>
        <w:spacing w:after="12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w:t>
      </w:r>
      <w:r w:rsidRPr="0076249F">
        <w:rPr>
          <w:rFonts w:ascii="Times New Roman" w:hAnsi="Times New Roman" w:cs="Times New Roman"/>
          <w:b/>
          <w:bCs/>
          <w:sz w:val="24"/>
          <w:szCs w:val="24"/>
          <w:lang w:val="en-US"/>
        </w:rPr>
        <w:t xml:space="preserve">urning points in forest sustainability: an analysis using </w:t>
      </w:r>
      <w:r>
        <w:rPr>
          <w:rFonts w:ascii="Times New Roman" w:hAnsi="Times New Roman" w:cs="Times New Roman"/>
          <w:b/>
          <w:bCs/>
          <w:sz w:val="24"/>
          <w:szCs w:val="24"/>
          <w:lang w:val="en-US"/>
        </w:rPr>
        <w:t>D</w:t>
      </w:r>
      <w:r w:rsidRPr="0076249F">
        <w:rPr>
          <w:rFonts w:ascii="Times New Roman" w:hAnsi="Times New Roman" w:cs="Times New Roman"/>
          <w:b/>
          <w:bCs/>
          <w:sz w:val="24"/>
          <w:szCs w:val="24"/>
          <w:lang w:val="en-US"/>
        </w:rPr>
        <w:t xml:space="preserve">eepseek-ai-v3 in </w:t>
      </w:r>
      <w:r>
        <w:rPr>
          <w:rFonts w:ascii="Times New Roman" w:hAnsi="Times New Roman" w:cs="Times New Roman"/>
          <w:b/>
          <w:bCs/>
          <w:sz w:val="24"/>
          <w:szCs w:val="24"/>
          <w:lang w:val="en-US"/>
        </w:rPr>
        <w:t>G</w:t>
      </w:r>
      <w:r w:rsidRPr="0076249F">
        <w:rPr>
          <w:rFonts w:ascii="Times New Roman" w:hAnsi="Times New Roman" w:cs="Times New Roman"/>
          <w:b/>
          <w:bCs/>
          <w:sz w:val="24"/>
          <w:szCs w:val="24"/>
          <w:lang w:val="en-US"/>
        </w:rPr>
        <w:t>uisa (2013–2024)</w:t>
      </w:r>
    </w:p>
    <w:p w14:paraId="75BEDBFD" w14:textId="7615B676" w:rsidR="006527FD" w:rsidRPr="0076249F" w:rsidRDefault="00985FCF" w:rsidP="006527FD">
      <w:pPr>
        <w:spacing w:after="120" w:line="360" w:lineRule="auto"/>
        <w:jc w:val="both"/>
        <w:rPr>
          <w:rFonts w:ascii="Times New Roman" w:hAnsi="Times New Roman" w:cs="Times New Roman"/>
          <w:sz w:val="24"/>
          <w:szCs w:val="24"/>
          <w:lang w:val="es-419"/>
        </w:rPr>
      </w:pPr>
      <w:r w:rsidRPr="0076249F">
        <w:rPr>
          <w:rFonts w:ascii="Times New Roman" w:hAnsi="Times New Roman" w:cs="Times New Roman"/>
          <w:sz w:val="24"/>
          <w:szCs w:val="24"/>
          <w:lang w:val="es-419"/>
        </w:rPr>
        <w:t xml:space="preserve">María de los </w:t>
      </w:r>
      <w:r w:rsidR="00565B5A" w:rsidRPr="0076249F">
        <w:rPr>
          <w:rFonts w:ascii="Times New Roman" w:hAnsi="Times New Roman" w:cs="Times New Roman"/>
          <w:sz w:val="24"/>
          <w:szCs w:val="24"/>
          <w:lang w:val="es-419"/>
        </w:rPr>
        <w:t>Ángeles</w:t>
      </w:r>
      <w:r w:rsidRPr="0076249F">
        <w:rPr>
          <w:rFonts w:ascii="Times New Roman" w:hAnsi="Times New Roman" w:cs="Times New Roman"/>
          <w:sz w:val="24"/>
          <w:szCs w:val="24"/>
          <w:lang w:val="es-419"/>
        </w:rPr>
        <w:t xml:space="preserve"> Pino Parada</w:t>
      </w:r>
      <w:r w:rsidR="00224EDB" w:rsidRPr="0076249F">
        <w:rPr>
          <w:rFonts w:ascii="Times New Roman" w:hAnsi="Times New Roman" w:cs="Times New Roman"/>
          <w:sz w:val="24"/>
          <w:szCs w:val="24"/>
          <w:vertAlign w:val="superscript"/>
          <w:lang w:val="es-419"/>
        </w:rPr>
        <w:t>(</w:t>
      </w:r>
      <w:r w:rsidRPr="0076249F">
        <w:rPr>
          <w:rFonts w:ascii="Times New Roman" w:hAnsi="Times New Roman" w:cs="Times New Roman"/>
          <w:sz w:val="24"/>
          <w:szCs w:val="24"/>
          <w:vertAlign w:val="superscript"/>
          <w:lang w:val="es-419"/>
        </w:rPr>
        <w:t>1</w:t>
      </w:r>
      <w:r w:rsidR="00224EDB" w:rsidRPr="0076249F">
        <w:rPr>
          <w:rFonts w:ascii="Times New Roman" w:hAnsi="Times New Roman" w:cs="Times New Roman"/>
          <w:sz w:val="24"/>
          <w:szCs w:val="24"/>
          <w:vertAlign w:val="superscript"/>
          <w:lang w:val="es-419"/>
        </w:rPr>
        <w:t>)</w:t>
      </w:r>
    </w:p>
    <w:p w14:paraId="27D641C5" w14:textId="4099A8E4" w:rsidR="0070630E"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Licet Chávez Suárez</w:t>
      </w:r>
      <w:r w:rsidRPr="00985FCF">
        <w:rPr>
          <w:rFonts w:ascii="Times New Roman" w:hAnsi="Times New Roman" w:cs="Times New Roman"/>
          <w:sz w:val="24"/>
          <w:szCs w:val="24"/>
          <w:vertAlign w:val="superscript"/>
        </w:rPr>
        <w:t>2</w:t>
      </w:r>
    </w:p>
    <w:p w14:paraId="4FE98475" w14:textId="7F5B8ED9" w:rsidR="0070630E"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Sergio Florentino Rodríguez Rodríguez</w:t>
      </w:r>
      <w:r w:rsidR="00224EDB" w:rsidRPr="00224EDB">
        <w:rPr>
          <w:rFonts w:ascii="Times New Roman" w:hAnsi="Times New Roman" w:cs="Times New Roman"/>
          <w:sz w:val="24"/>
          <w:szCs w:val="24"/>
          <w:vertAlign w:val="superscript"/>
        </w:rPr>
        <w:t>(</w:t>
      </w:r>
      <w:r w:rsidRPr="00985FCF">
        <w:rPr>
          <w:rFonts w:ascii="Times New Roman" w:hAnsi="Times New Roman" w:cs="Times New Roman"/>
          <w:sz w:val="24"/>
          <w:szCs w:val="24"/>
          <w:vertAlign w:val="superscript"/>
        </w:rPr>
        <w:t>3</w:t>
      </w:r>
      <w:r w:rsidR="00224EDB">
        <w:rPr>
          <w:rFonts w:ascii="Times New Roman" w:hAnsi="Times New Roman" w:cs="Times New Roman"/>
          <w:sz w:val="24"/>
          <w:szCs w:val="24"/>
          <w:vertAlign w:val="superscript"/>
        </w:rPr>
        <w:t>)</w:t>
      </w:r>
    </w:p>
    <w:p w14:paraId="6D581369" w14:textId="45BA7242" w:rsidR="0070630E"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Maidelín Paumier Zayas</w:t>
      </w:r>
      <w:r w:rsidR="00224EDB" w:rsidRPr="00224EDB">
        <w:rPr>
          <w:rFonts w:ascii="Times New Roman" w:hAnsi="Times New Roman" w:cs="Times New Roman"/>
          <w:sz w:val="24"/>
          <w:szCs w:val="24"/>
          <w:vertAlign w:val="superscript"/>
        </w:rPr>
        <w:t>(</w:t>
      </w:r>
      <w:r w:rsidRPr="00985FCF">
        <w:rPr>
          <w:rFonts w:ascii="Times New Roman" w:hAnsi="Times New Roman" w:cs="Times New Roman"/>
          <w:sz w:val="24"/>
          <w:szCs w:val="24"/>
          <w:vertAlign w:val="superscript"/>
        </w:rPr>
        <w:t>4</w:t>
      </w:r>
      <w:r w:rsidR="00224EDB">
        <w:rPr>
          <w:rFonts w:ascii="Times New Roman" w:hAnsi="Times New Roman" w:cs="Times New Roman"/>
          <w:sz w:val="24"/>
          <w:szCs w:val="24"/>
          <w:vertAlign w:val="superscript"/>
        </w:rPr>
        <w:t>)</w:t>
      </w:r>
    </w:p>
    <w:p w14:paraId="2F509D53" w14:textId="4477E0B4" w:rsidR="00985FCF" w:rsidRDefault="00985FCF" w:rsidP="00F518F0">
      <w:pPr>
        <w:spacing w:after="120" w:line="360" w:lineRule="auto"/>
        <w:jc w:val="both"/>
        <w:rPr>
          <w:rFonts w:ascii="Times New Roman" w:hAnsi="Times New Roman" w:cs="Times New Roman"/>
          <w:sz w:val="24"/>
          <w:szCs w:val="24"/>
          <w:vertAlign w:val="superscript"/>
        </w:rPr>
      </w:pPr>
      <w:r w:rsidRPr="00985FCF">
        <w:rPr>
          <w:rFonts w:ascii="Times New Roman" w:hAnsi="Times New Roman" w:cs="Times New Roman"/>
          <w:sz w:val="24"/>
          <w:szCs w:val="24"/>
        </w:rPr>
        <w:t>Oandis Sosa Sánchez</w:t>
      </w:r>
      <w:r w:rsidR="00224EDB" w:rsidRPr="00224EDB">
        <w:rPr>
          <w:rFonts w:ascii="Times New Roman" w:hAnsi="Times New Roman" w:cs="Times New Roman"/>
          <w:sz w:val="24"/>
          <w:szCs w:val="24"/>
          <w:vertAlign w:val="superscript"/>
        </w:rPr>
        <w:t>(</w:t>
      </w:r>
      <w:r w:rsidRPr="00985FCF">
        <w:rPr>
          <w:rFonts w:ascii="Times New Roman" w:hAnsi="Times New Roman" w:cs="Times New Roman"/>
          <w:sz w:val="24"/>
          <w:szCs w:val="24"/>
          <w:vertAlign w:val="superscript"/>
        </w:rPr>
        <w:t>5</w:t>
      </w:r>
      <w:r w:rsidR="00224EDB">
        <w:rPr>
          <w:rFonts w:ascii="Times New Roman" w:hAnsi="Times New Roman" w:cs="Times New Roman"/>
          <w:sz w:val="24"/>
          <w:szCs w:val="24"/>
          <w:vertAlign w:val="superscript"/>
        </w:rPr>
        <w:t>)</w:t>
      </w:r>
    </w:p>
    <w:p w14:paraId="0B1DC320" w14:textId="44866E4B" w:rsidR="007D2573" w:rsidRDefault="007D2573" w:rsidP="00F518F0">
      <w:pPr>
        <w:spacing w:after="12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Manuel José Linates Álvaro</w:t>
      </w:r>
      <w:r w:rsidR="00224EDB" w:rsidRPr="00224EDB">
        <w:rPr>
          <w:rFonts w:ascii="Times New Roman" w:hAnsi="Times New Roman" w:cs="Times New Roman"/>
          <w:sz w:val="24"/>
          <w:szCs w:val="24"/>
          <w:vertAlign w:val="superscript"/>
        </w:rPr>
        <w:t>(</w:t>
      </w:r>
      <w:r w:rsidRPr="007D2573">
        <w:rPr>
          <w:rFonts w:ascii="Times New Roman" w:hAnsi="Times New Roman" w:cs="Times New Roman"/>
          <w:sz w:val="24"/>
          <w:szCs w:val="24"/>
          <w:vertAlign w:val="superscript"/>
        </w:rPr>
        <w:t>6</w:t>
      </w:r>
      <w:r w:rsidR="00224EDB">
        <w:rPr>
          <w:rFonts w:ascii="Times New Roman" w:hAnsi="Times New Roman" w:cs="Times New Roman"/>
          <w:sz w:val="24"/>
          <w:szCs w:val="24"/>
          <w:vertAlign w:val="superscript"/>
        </w:rPr>
        <w:t>)</w:t>
      </w:r>
    </w:p>
    <w:p w14:paraId="6E7A48EE" w14:textId="33C5DB4F" w:rsidR="00737934" w:rsidRPr="00737934" w:rsidRDefault="00737934" w:rsidP="00F518F0">
      <w:pPr>
        <w:spacing w:after="12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Ramiro Remigio Gaibor Fernández</w:t>
      </w:r>
      <w:r w:rsidRPr="00737934">
        <w:rPr>
          <w:rFonts w:ascii="Times New Roman" w:hAnsi="Times New Roman" w:cs="Times New Roman"/>
          <w:sz w:val="24"/>
          <w:szCs w:val="24"/>
          <w:vertAlign w:val="superscript"/>
        </w:rPr>
        <w:t>(7)</w:t>
      </w:r>
    </w:p>
    <w:p w14:paraId="14666F28" w14:textId="152CD31B" w:rsidR="000A379D" w:rsidRPr="001D305E" w:rsidRDefault="00FB7BEC" w:rsidP="000A379D">
      <w:pPr>
        <w:spacing w:after="120" w:line="360" w:lineRule="auto"/>
        <w:jc w:val="both"/>
        <w:rPr>
          <w:rFonts w:ascii="Times New Roman" w:hAnsi="Times New Roman" w:cs="Times New Roman"/>
          <w:sz w:val="24"/>
          <w:szCs w:val="24"/>
        </w:rPr>
      </w:pPr>
      <w:r w:rsidRPr="001D305E">
        <w:rPr>
          <w:rFonts w:ascii="Times New Roman" w:hAnsi="Times New Roman" w:cs="Times New Roman"/>
          <w:sz w:val="24"/>
          <w:szCs w:val="24"/>
        </w:rPr>
        <w:t>(</w:t>
      </w:r>
      <w:r w:rsidR="00985FCF" w:rsidRPr="00985FCF">
        <w:rPr>
          <w:rFonts w:ascii="Times New Roman" w:hAnsi="Times New Roman" w:cs="Times New Roman"/>
          <w:sz w:val="24"/>
          <w:szCs w:val="24"/>
        </w:rPr>
        <w:t>1</w:t>
      </w:r>
      <w:r w:rsidRPr="001D305E">
        <w:rPr>
          <w:rFonts w:ascii="Times New Roman" w:hAnsi="Times New Roman" w:cs="Times New Roman"/>
          <w:sz w:val="24"/>
          <w:szCs w:val="24"/>
        </w:rPr>
        <w:t xml:space="preserve">) </w:t>
      </w:r>
      <w:r w:rsidR="00985FCF" w:rsidRPr="00985FCF">
        <w:rPr>
          <w:rFonts w:ascii="Times New Roman" w:hAnsi="Times New Roman" w:cs="Times New Roman"/>
          <w:sz w:val="24"/>
          <w:szCs w:val="24"/>
        </w:rPr>
        <w:t>Grupo Desarrollo, Departamento Diseño, Empresa Nacional Proyectos e Ingenería UEB Granma, Cuba.</w:t>
      </w:r>
      <w:r w:rsidR="000A379D" w:rsidRPr="001D305E">
        <w:rPr>
          <w:rFonts w:ascii="Times New Roman" w:hAnsi="Times New Roman" w:cs="Times New Roman"/>
          <w:sz w:val="24"/>
          <w:szCs w:val="24"/>
        </w:rPr>
        <w:t xml:space="preserve"> </w:t>
      </w:r>
      <w:hyperlink r:id="rId8" w:history="1">
        <w:r w:rsidR="000A379D" w:rsidRPr="001D305E">
          <w:rPr>
            <w:rStyle w:val="Hipervnculo"/>
            <w:rFonts w:ascii="Times New Roman" w:hAnsi="Times New Roman" w:cs="Times New Roman"/>
            <w:spacing w:val="4"/>
            <w:sz w:val="24"/>
            <w:szCs w:val="24"/>
            <w:shd w:val="clear" w:color="auto" w:fill="FFFFFF"/>
          </w:rPr>
          <w:t>mariadelosangelespino9512@gmail.com</w:t>
        </w:r>
      </w:hyperlink>
      <w:r w:rsidR="000A379D" w:rsidRPr="001D305E">
        <w:rPr>
          <w:rFonts w:ascii="Times New Roman" w:hAnsi="Times New Roman" w:cs="Times New Roman"/>
          <w:color w:val="000000"/>
          <w:spacing w:val="4"/>
          <w:sz w:val="24"/>
          <w:szCs w:val="24"/>
          <w:shd w:val="clear" w:color="auto" w:fill="FFFFFF"/>
        </w:rPr>
        <w:t xml:space="preserve">. </w:t>
      </w:r>
      <w:r w:rsidR="000A379D" w:rsidRPr="001D305E">
        <w:rPr>
          <w:rFonts w:ascii="Times New Roman" w:hAnsi="Times New Roman" w:cs="Times New Roman"/>
          <w:sz w:val="24"/>
          <w:szCs w:val="24"/>
        </w:rPr>
        <w:t>ORCID: https://orcid.org/0009-0002-5227-353X</w:t>
      </w:r>
    </w:p>
    <w:p w14:paraId="05F53256" w14:textId="651C7565" w:rsidR="00E52541" w:rsidRPr="001D305E" w:rsidRDefault="00FB7BEC" w:rsidP="00E52541">
      <w:pPr>
        <w:tabs>
          <w:tab w:val="left" w:pos="5387"/>
        </w:tabs>
        <w:spacing w:after="0" w:line="360" w:lineRule="auto"/>
        <w:jc w:val="both"/>
        <w:rPr>
          <w:rStyle w:val="Hipervnculo"/>
          <w:rFonts w:ascii="Times New Roman" w:hAnsi="Times New Roman" w:cs="Times New Roman"/>
          <w:color w:val="auto"/>
          <w:sz w:val="24"/>
          <w:szCs w:val="24"/>
          <w:u w:val="none"/>
        </w:rPr>
      </w:pPr>
      <w:r w:rsidRPr="001D305E">
        <w:rPr>
          <w:rFonts w:ascii="Times New Roman" w:hAnsi="Times New Roman" w:cs="Times New Roman"/>
          <w:sz w:val="24"/>
          <w:szCs w:val="24"/>
        </w:rPr>
        <w:t>(</w:t>
      </w:r>
      <w:r w:rsidR="00985FCF" w:rsidRPr="00985FCF">
        <w:rPr>
          <w:rFonts w:ascii="Times New Roman" w:hAnsi="Times New Roman" w:cs="Times New Roman"/>
          <w:sz w:val="24"/>
          <w:szCs w:val="24"/>
        </w:rPr>
        <w:t>2</w:t>
      </w:r>
      <w:r w:rsidRPr="001D305E">
        <w:rPr>
          <w:rFonts w:ascii="Times New Roman" w:hAnsi="Times New Roman" w:cs="Times New Roman"/>
          <w:sz w:val="24"/>
          <w:szCs w:val="24"/>
        </w:rPr>
        <w:t xml:space="preserve">) </w:t>
      </w:r>
      <w:r w:rsidR="00985FCF" w:rsidRPr="00985FCF">
        <w:rPr>
          <w:rFonts w:ascii="Times New Roman" w:hAnsi="Times New Roman" w:cs="Times New Roman"/>
          <w:sz w:val="24"/>
          <w:szCs w:val="24"/>
        </w:rPr>
        <w:t xml:space="preserve">Dirección de </w:t>
      </w:r>
      <w:r w:rsidR="0085325B" w:rsidRPr="001D305E">
        <w:rPr>
          <w:rFonts w:ascii="Times New Roman" w:hAnsi="Times New Roman" w:cs="Times New Roman"/>
          <w:sz w:val="24"/>
          <w:szCs w:val="24"/>
        </w:rPr>
        <w:t>I</w:t>
      </w:r>
      <w:r w:rsidR="00985FCF" w:rsidRPr="00985FCF">
        <w:rPr>
          <w:rFonts w:ascii="Times New Roman" w:hAnsi="Times New Roman" w:cs="Times New Roman"/>
          <w:sz w:val="24"/>
          <w:szCs w:val="24"/>
        </w:rPr>
        <w:t xml:space="preserve">nvestigación y </w:t>
      </w:r>
      <w:r w:rsidR="0085325B" w:rsidRPr="001D305E">
        <w:rPr>
          <w:rFonts w:ascii="Times New Roman" w:hAnsi="Times New Roman" w:cs="Times New Roman"/>
          <w:sz w:val="24"/>
          <w:szCs w:val="24"/>
        </w:rPr>
        <w:t>S</w:t>
      </w:r>
      <w:r w:rsidR="00985FCF" w:rsidRPr="00985FCF">
        <w:rPr>
          <w:rFonts w:ascii="Times New Roman" w:hAnsi="Times New Roman" w:cs="Times New Roman"/>
          <w:sz w:val="24"/>
          <w:szCs w:val="24"/>
        </w:rPr>
        <w:t xml:space="preserve">ervicios </w:t>
      </w:r>
      <w:r w:rsidR="0085325B" w:rsidRPr="001D305E">
        <w:rPr>
          <w:rFonts w:ascii="Times New Roman" w:hAnsi="Times New Roman" w:cs="Times New Roman"/>
          <w:sz w:val="24"/>
          <w:szCs w:val="24"/>
        </w:rPr>
        <w:t>A</w:t>
      </w:r>
      <w:r w:rsidR="00985FCF" w:rsidRPr="00985FCF">
        <w:rPr>
          <w:rFonts w:ascii="Times New Roman" w:hAnsi="Times New Roman" w:cs="Times New Roman"/>
          <w:sz w:val="24"/>
          <w:szCs w:val="24"/>
        </w:rPr>
        <w:t>mbientales, Instituto de Investigaciones Agropecuaria “Jorge Dimitrov”, Granma, Cuba.</w:t>
      </w:r>
      <w:r w:rsidR="00E52541" w:rsidRPr="001D305E">
        <w:rPr>
          <w:rFonts w:ascii="Times New Roman" w:hAnsi="Times New Roman" w:cs="Times New Roman"/>
          <w:sz w:val="24"/>
          <w:szCs w:val="24"/>
        </w:rPr>
        <w:t xml:space="preserve"> </w:t>
      </w:r>
      <w:hyperlink r:id="rId9" w:history="1">
        <w:r w:rsidR="00E52541" w:rsidRPr="001D305E">
          <w:rPr>
            <w:rStyle w:val="Hipervnculo"/>
            <w:rFonts w:ascii="Times New Roman" w:hAnsi="Times New Roman" w:cs="Times New Roman"/>
            <w:sz w:val="24"/>
            <w:szCs w:val="24"/>
          </w:rPr>
          <w:t>licet@dimitrov.cu</w:t>
        </w:r>
      </w:hyperlink>
      <w:r w:rsidR="00E52541" w:rsidRPr="001D305E">
        <w:rPr>
          <w:rFonts w:ascii="Times New Roman" w:hAnsi="Times New Roman" w:cs="Times New Roman"/>
          <w:sz w:val="24"/>
          <w:szCs w:val="24"/>
        </w:rPr>
        <w:t xml:space="preserve">. </w:t>
      </w:r>
      <w:r w:rsidR="00E52541" w:rsidRPr="001D305E">
        <w:rPr>
          <w:rStyle w:val="Hipervnculo"/>
          <w:rFonts w:ascii="Times New Roman" w:hAnsi="Times New Roman" w:cs="Times New Roman"/>
          <w:color w:val="000000"/>
          <w:sz w:val="24"/>
          <w:szCs w:val="24"/>
          <w:u w:val="none"/>
        </w:rPr>
        <w:t xml:space="preserve">ORCID: </w:t>
      </w:r>
      <w:hyperlink r:id="rId10" w:history="1">
        <w:bookmarkStart w:id="0" w:name="_Hlk153307346"/>
        <w:r w:rsidR="00E52541" w:rsidRPr="001D305E">
          <w:rPr>
            <w:rStyle w:val="Hipervnculo"/>
            <w:rFonts w:ascii="Times New Roman" w:hAnsi="Times New Roman" w:cs="Times New Roman"/>
            <w:sz w:val="24"/>
            <w:szCs w:val="24"/>
          </w:rPr>
          <w:t>https://orcid.org/</w:t>
        </w:r>
        <w:bookmarkEnd w:id="0"/>
        <w:r w:rsidR="00E52541" w:rsidRPr="001D305E">
          <w:rPr>
            <w:rStyle w:val="Hipervnculo"/>
            <w:rFonts w:ascii="Times New Roman" w:hAnsi="Times New Roman" w:cs="Times New Roman"/>
            <w:sz w:val="24"/>
            <w:szCs w:val="24"/>
          </w:rPr>
          <w:t>0000-0002-7837-2168</w:t>
        </w:r>
      </w:hyperlink>
    </w:p>
    <w:p w14:paraId="561BAF74" w14:textId="4FB6D62F" w:rsidR="00ED1F5F" w:rsidRPr="00ED1F5F" w:rsidRDefault="00FB7BEC" w:rsidP="00ED1F5F">
      <w:pPr>
        <w:spacing w:after="120" w:line="360" w:lineRule="auto"/>
        <w:jc w:val="both"/>
        <w:rPr>
          <w:rFonts w:ascii="Times New Roman" w:hAnsi="Times New Roman" w:cs="Times New Roman"/>
          <w:sz w:val="24"/>
          <w:szCs w:val="24"/>
        </w:rPr>
      </w:pPr>
      <w:r w:rsidRPr="001D305E">
        <w:rPr>
          <w:rFonts w:ascii="Times New Roman" w:hAnsi="Times New Roman" w:cs="Times New Roman"/>
          <w:sz w:val="24"/>
          <w:szCs w:val="24"/>
        </w:rPr>
        <w:t>(</w:t>
      </w:r>
      <w:r w:rsidR="00985FCF" w:rsidRPr="00985FCF">
        <w:rPr>
          <w:rFonts w:ascii="Times New Roman" w:hAnsi="Times New Roman" w:cs="Times New Roman"/>
          <w:sz w:val="24"/>
          <w:szCs w:val="24"/>
        </w:rPr>
        <w:t>3</w:t>
      </w:r>
      <w:r w:rsidRPr="001D305E">
        <w:rPr>
          <w:rFonts w:ascii="Times New Roman" w:hAnsi="Times New Roman" w:cs="Times New Roman"/>
          <w:sz w:val="24"/>
          <w:szCs w:val="24"/>
        </w:rPr>
        <w:t>)</w:t>
      </w:r>
      <w:r w:rsidR="00985FCF" w:rsidRPr="00985FCF">
        <w:rPr>
          <w:rFonts w:ascii="Times New Roman" w:hAnsi="Times New Roman" w:cs="Times New Roman"/>
          <w:sz w:val="24"/>
          <w:szCs w:val="24"/>
          <w:vertAlign w:val="superscript"/>
        </w:rPr>
        <w:t xml:space="preserve"> </w:t>
      </w:r>
      <w:r w:rsidR="00985FCF" w:rsidRPr="00985FCF">
        <w:rPr>
          <w:rFonts w:ascii="Times New Roman" w:hAnsi="Times New Roman" w:cs="Times New Roman"/>
          <w:sz w:val="24"/>
          <w:szCs w:val="24"/>
        </w:rPr>
        <w:t>Departamento Ingeniería Forestal, Facultad de Ciencias Agropecuarias, Universidad de Granma, Cuba.</w:t>
      </w:r>
      <w:r w:rsidR="00ED1F5F" w:rsidRPr="001D305E">
        <w:rPr>
          <w:rFonts w:ascii="Times New Roman" w:hAnsi="Times New Roman" w:cs="Times New Roman"/>
          <w:sz w:val="24"/>
          <w:szCs w:val="24"/>
        </w:rPr>
        <w:t xml:space="preserve"> </w:t>
      </w:r>
      <w:hyperlink r:id="rId11" w:history="1">
        <w:r w:rsidR="00ED1F5F" w:rsidRPr="00ED1F5F">
          <w:rPr>
            <w:rFonts w:ascii="Times New Roman" w:eastAsia="SimSun" w:hAnsi="Times New Roman" w:cs="Times New Roman"/>
            <w:color w:val="0563C1" w:themeColor="hyperlink"/>
            <w:sz w:val="24"/>
            <w:szCs w:val="24"/>
            <w:u w:val="single"/>
            <w:lang w:val="es-ES"/>
          </w:rPr>
          <w:t>sfrodriguez1964@gmail.com</w:t>
        </w:r>
      </w:hyperlink>
      <w:r w:rsidR="00ED1F5F" w:rsidRPr="00ED1F5F">
        <w:rPr>
          <w:rFonts w:ascii="Times New Roman" w:eastAsia="SimSun" w:hAnsi="Times New Roman" w:cs="Times New Roman"/>
          <w:sz w:val="24"/>
          <w:szCs w:val="24"/>
          <w:lang w:val="es-ES"/>
        </w:rPr>
        <w:t xml:space="preserve">. ORCID: </w:t>
      </w:r>
      <w:hyperlink r:id="rId12" w:history="1">
        <w:r w:rsidR="00ED1F5F" w:rsidRPr="00ED1F5F">
          <w:rPr>
            <w:rFonts w:ascii="Times New Roman" w:eastAsia="SimSun" w:hAnsi="Times New Roman" w:cs="Times New Roman"/>
            <w:color w:val="0563C1" w:themeColor="hyperlink"/>
            <w:sz w:val="24"/>
            <w:szCs w:val="24"/>
            <w:u w:val="single"/>
            <w:lang w:val="es-ES"/>
          </w:rPr>
          <w:t>https://orcid.org/0000-0003-2923-5092</w:t>
        </w:r>
      </w:hyperlink>
    </w:p>
    <w:p w14:paraId="1E663F4D" w14:textId="2A7C6C1D" w:rsidR="0046792E" w:rsidRDefault="00FB7BEC" w:rsidP="0046792E">
      <w:pPr>
        <w:spacing w:after="120" w:line="360" w:lineRule="auto"/>
        <w:jc w:val="both"/>
        <w:rPr>
          <w:rFonts w:ascii="Times New Roman" w:hAnsi="Times New Roman" w:cs="Times New Roman"/>
          <w:sz w:val="24"/>
          <w:szCs w:val="24"/>
        </w:rPr>
      </w:pPr>
      <w:r w:rsidRPr="001D305E">
        <w:rPr>
          <w:rFonts w:ascii="Times New Roman" w:hAnsi="Times New Roman" w:cs="Times New Roman"/>
          <w:sz w:val="24"/>
          <w:szCs w:val="24"/>
        </w:rPr>
        <w:t>(</w:t>
      </w:r>
      <w:r w:rsidR="00985FCF" w:rsidRPr="00985FCF">
        <w:rPr>
          <w:rFonts w:ascii="Times New Roman" w:hAnsi="Times New Roman" w:cs="Times New Roman"/>
          <w:sz w:val="24"/>
          <w:szCs w:val="24"/>
        </w:rPr>
        <w:t>4</w:t>
      </w:r>
      <w:r w:rsidRPr="001D305E">
        <w:rPr>
          <w:rFonts w:ascii="Times New Roman" w:hAnsi="Times New Roman" w:cs="Times New Roman"/>
          <w:sz w:val="24"/>
          <w:szCs w:val="24"/>
        </w:rPr>
        <w:t>)</w:t>
      </w:r>
      <w:r w:rsidR="00985FCF" w:rsidRPr="00985FCF">
        <w:rPr>
          <w:rFonts w:ascii="Times New Roman" w:hAnsi="Times New Roman" w:cs="Times New Roman"/>
          <w:sz w:val="24"/>
          <w:szCs w:val="24"/>
        </w:rPr>
        <w:t xml:space="preserve"> Departamento Zootecnia, Facultad de Ciencias Ag</w:t>
      </w:r>
      <w:r w:rsidR="00E80C27">
        <w:rPr>
          <w:rFonts w:ascii="Times New Roman" w:hAnsi="Times New Roman" w:cs="Times New Roman"/>
          <w:sz w:val="24"/>
          <w:szCs w:val="24"/>
        </w:rPr>
        <w:t>r</w:t>
      </w:r>
      <w:r w:rsidR="00985FCF" w:rsidRPr="00985FCF">
        <w:rPr>
          <w:rFonts w:ascii="Times New Roman" w:hAnsi="Times New Roman" w:cs="Times New Roman"/>
          <w:sz w:val="24"/>
          <w:szCs w:val="24"/>
        </w:rPr>
        <w:t>opecuarias, Universidad de Granma, Cuba.</w:t>
      </w:r>
      <w:r w:rsidR="0046792E" w:rsidRPr="001D305E">
        <w:rPr>
          <w:rFonts w:ascii="Times New Roman" w:eastAsia="Times New Roman" w:hAnsi="Times New Roman" w:cs="Times New Roman"/>
          <w:color w:val="FFFFFF"/>
          <w:spacing w:val="4"/>
          <w:sz w:val="24"/>
          <w:szCs w:val="24"/>
          <w:lang w:eastAsia="es-CU"/>
        </w:rPr>
        <w:t xml:space="preserve"> </w:t>
      </w:r>
      <w:hyperlink r:id="rId13" w:history="1">
        <w:r w:rsidR="001D305E" w:rsidRPr="00276251">
          <w:rPr>
            <w:rStyle w:val="Hipervnculo"/>
            <w:rFonts w:ascii="Times New Roman" w:hAnsi="Times New Roman" w:cs="Times New Roman"/>
            <w:sz w:val="24"/>
            <w:szCs w:val="24"/>
            <w:shd w:val="clear" w:color="auto" w:fill="FFFFFF"/>
          </w:rPr>
          <w:t>mpaumierz@udg.co.cu</w:t>
        </w:r>
      </w:hyperlink>
      <w:r w:rsidR="001D305E" w:rsidRPr="00276251">
        <w:rPr>
          <w:rFonts w:ascii="Times New Roman" w:eastAsia="Times New Roman" w:hAnsi="Times New Roman" w:cs="Times New Roman"/>
          <w:spacing w:val="4"/>
          <w:sz w:val="24"/>
          <w:szCs w:val="24"/>
          <w:lang w:eastAsia="es-CU"/>
        </w:rPr>
        <w:t xml:space="preserve">. </w:t>
      </w:r>
      <w:r w:rsidR="0046792E" w:rsidRPr="00276251">
        <w:rPr>
          <w:rFonts w:ascii="Times New Roman" w:eastAsia="Times New Roman" w:hAnsi="Times New Roman" w:cs="Times New Roman"/>
          <w:spacing w:val="4"/>
          <w:sz w:val="24"/>
          <w:szCs w:val="24"/>
          <w:lang w:eastAsia="es-CU"/>
        </w:rPr>
        <w:t xml:space="preserve">ORCID: </w:t>
      </w:r>
      <w:hyperlink r:id="rId14" w:history="1">
        <w:r w:rsidR="00276251" w:rsidRPr="00FF08A4">
          <w:rPr>
            <w:rStyle w:val="Hipervnculo"/>
            <w:rFonts w:ascii="Times New Roman" w:hAnsi="Times New Roman" w:cs="Times New Roman"/>
            <w:sz w:val="24"/>
            <w:szCs w:val="24"/>
          </w:rPr>
          <w:t>https://orcid.org/0000-0003-3417-1679</w:t>
        </w:r>
      </w:hyperlink>
    </w:p>
    <w:p w14:paraId="346A9E3B" w14:textId="0EDD6761" w:rsidR="00C4010A" w:rsidRPr="001D305E" w:rsidRDefault="00FB7BEC" w:rsidP="00C4010A">
      <w:pPr>
        <w:spacing w:after="120" w:line="360" w:lineRule="auto"/>
        <w:jc w:val="both"/>
        <w:rPr>
          <w:rFonts w:ascii="Times New Roman" w:hAnsi="Times New Roman" w:cs="Times New Roman"/>
          <w:sz w:val="24"/>
          <w:szCs w:val="24"/>
        </w:rPr>
      </w:pPr>
      <w:r w:rsidRPr="001D305E">
        <w:rPr>
          <w:rFonts w:ascii="Times New Roman" w:hAnsi="Times New Roman" w:cs="Times New Roman"/>
          <w:sz w:val="24"/>
          <w:szCs w:val="24"/>
        </w:rPr>
        <w:t>(</w:t>
      </w:r>
      <w:r w:rsidR="00985FCF" w:rsidRPr="00985FCF">
        <w:rPr>
          <w:rFonts w:ascii="Times New Roman" w:hAnsi="Times New Roman" w:cs="Times New Roman"/>
          <w:sz w:val="24"/>
          <w:szCs w:val="24"/>
        </w:rPr>
        <w:t>5</w:t>
      </w:r>
      <w:r w:rsidRPr="001D305E">
        <w:rPr>
          <w:rFonts w:ascii="Times New Roman" w:hAnsi="Times New Roman" w:cs="Times New Roman"/>
          <w:sz w:val="24"/>
          <w:szCs w:val="24"/>
        </w:rPr>
        <w:t xml:space="preserve">) </w:t>
      </w:r>
      <w:r w:rsidR="00985FCF" w:rsidRPr="00985FCF">
        <w:rPr>
          <w:rFonts w:ascii="Times New Roman" w:hAnsi="Times New Roman" w:cs="Times New Roman"/>
          <w:sz w:val="24"/>
          <w:szCs w:val="24"/>
        </w:rPr>
        <w:t>Departamento Diseño, Empresa Nacional Proyectos e Ingenería UEB Granma, Cuba.</w:t>
      </w:r>
      <w:r w:rsidR="00C4010A" w:rsidRPr="001D305E">
        <w:rPr>
          <w:rFonts w:ascii="Times New Roman" w:hAnsi="Times New Roman" w:cs="Times New Roman"/>
          <w:sz w:val="24"/>
          <w:szCs w:val="24"/>
        </w:rPr>
        <w:t xml:space="preserve"> </w:t>
      </w:r>
      <w:hyperlink r:id="rId15" w:history="1">
        <w:r w:rsidR="006D5288" w:rsidRPr="001D305E">
          <w:rPr>
            <w:rStyle w:val="Hipervnculo"/>
            <w:rFonts w:ascii="Times New Roman" w:hAnsi="Times New Roman" w:cs="Times New Roman"/>
            <w:spacing w:val="4"/>
            <w:sz w:val="24"/>
            <w:szCs w:val="24"/>
            <w:shd w:val="clear" w:color="auto" w:fill="FFFFFF"/>
          </w:rPr>
          <w:t>oandis.sosa@gmail.com</w:t>
        </w:r>
      </w:hyperlink>
      <w:r w:rsidR="006D5288" w:rsidRPr="001D305E">
        <w:rPr>
          <w:rFonts w:ascii="Times New Roman" w:hAnsi="Times New Roman" w:cs="Times New Roman"/>
          <w:color w:val="000000"/>
          <w:spacing w:val="4"/>
          <w:sz w:val="24"/>
          <w:szCs w:val="24"/>
          <w:shd w:val="clear" w:color="auto" w:fill="FFFFFF"/>
        </w:rPr>
        <w:t xml:space="preserve">. </w:t>
      </w:r>
      <w:r w:rsidR="00C4010A" w:rsidRPr="001D305E">
        <w:rPr>
          <w:rFonts w:ascii="Times New Roman" w:hAnsi="Times New Roman" w:cs="Times New Roman"/>
          <w:sz w:val="24"/>
          <w:szCs w:val="24"/>
        </w:rPr>
        <w:t xml:space="preserve">ORCID: </w:t>
      </w:r>
      <w:hyperlink r:id="rId16" w:history="1">
        <w:r w:rsidR="00C4010A" w:rsidRPr="001D305E">
          <w:rPr>
            <w:rStyle w:val="Hipervnculo"/>
            <w:rFonts w:ascii="Times New Roman" w:hAnsi="Times New Roman" w:cs="Times New Roman"/>
            <w:sz w:val="24"/>
            <w:szCs w:val="24"/>
          </w:rPr>
          <w:t>https://orcid.org/0000-0002-8231-3822</w:t>
        </w:r>
      </w:hyperlink>
    </w:p>
    <w:p w14:paraId="542E17C5" w14:textId="7C3CE1F7" w:rsidR="003D3DD1" w:rsidRDefault="00FB7BEC" w:rsidP="003D3DD1">
      <w:pPr>
        <w:spacing w:after="0" w:line="360" w:lineRule="auto"/>
        <w:jc w:val="both"/>
      </w:pPr>
      <w:r w:rsidRPr="001D305E">
        <w:rPr>
          <w:rFonts w:ascii="Times New Roman" w:hAnsi="Times New Roman" w:cs="Times New Roman"/>
          <w:sz w:val="24"/>
          <w:szCs w:val="24"/>
        </w:rPr>
        <w:t>(</w:t>
      </w:r>
      <w:r w:rsidR="007D2573" w:rsidRPr="001D305E">
        <w:rPr>
          <w:rFonts w:ascii="Times New Roman" w:hAnsi="Times New Roman" w:cs="Times New Roman"/>
          <w:sz w:val="24"/>
          <w:szCs w:val="24"/>
        </w:rPr>
        <w:t>6</w:t>
      </w:r>
      <w:r w:rsidRPr="001D305E">
        <w:rPr>
          <w:rFonts w:ascii="Times New Roman" w:hAnsi="Times New Roman" w:cs="Times New Roman"/>
          <w:sz w:val="24"/>
          <w:szCs w:val="24"/>
        </w:rPr>
        <w:t>)</w:t>
      </w:r>
      <w:r w:rsidR="007D2573" w:rsidRPr="001D305E">
        <w:rPr>
          <w:rFonts w:ascii="Times New Roman" w:hAnsi="Times New Roman" w:cs="Times New Roman"/>
          <w:sz w:val="24"/>
          <w:szCs w:val="24"/>
        </w:rPr>
        <w:t xml:space="preserve"> </w:t>
      </w:r>
      <w:r w:rsidR="003D3DD1" w:rsidRPr="001D305E">
        <w:rPr>
          <w:rFonts w:ascii="Times New Roman" w:hAnsi="Times New Roman" w:cs="Times New Roman"/>
          <w:sz w:val="24"/>
          <w:szCs w:val="24"/>
        </w:rPr>
        <w:t xml:space="preserve">Universidad de Granma. Bayamo, Cuba. </w:t>
      </w:r>
      <w:hyperlink r:id="rId17" w:history="1">
        <w:r w:rsidR="003D3DD1" w:rsidRPr="001D305E">
          <w:rPr>
            <w:rStyle w:val="Hipervnculo"/>
            <w:rFonts w:ascii="Times New Roman" w:hAnsi="Times New Roman" w:cs="Times New Roman"/>
            <w:sz w:val="24"/>
            <w:szCs w:val="24"/>
          </w:rPr>
          <w:t>cheche@udg.co.cu</w:t>
        </w:r>
      </w:hyperlink>
      <w:r w:rsidR="003D3DD1" w:rsidRPr="001D305E">
        <w:rPr>
          <w:rFonts w:ascii="Times New Roman" w:hAnsi="Times New Roman" w:cs="Times New Roman"/>
          <w:sz w:val="24"/>
          <w:szCs w:val="24"/>
        </w:rPr>
        <w:t xml:space="preserve">. ORCID: </w:t>
      </w:r>
      <w:hyperlink r:id="rId18" w:history="1">
        <w:r w:rsidR="003D3DD1" w:rsidRPr="001D305E">
          <w:rPr>
            <w:rStyle w:val="Hipervnculo"/>
            <w:rFonts w:ascii="Times New Roman" w:hAnsi="Times New Roman" w:cs="Times New Roman"/>
            <w:sz w:val="24"/>
            <w:szCs w:val="24"/>
          </w:rPr>
          <w:t>https://orcid.org/0000-0002-1185-7822</w:t>
        </w:r>
      </w:hyperlink>
    </w:p>
    <w:p w14:paraId="08F1E190" w14:textId="52E2CE9A" w:rsidR="002E77F9" w:rsidRPr="002E77F9" w:rsidRDefault="002E77F9" w:rsidP="002E77F9">
      <w:pPr>
        <w:tabs>
          <w:tab w:val="left" w:pos="284"/>
        </w:tabs>
        <w:spacing w:after="0" w:line="360" w:lineRule="auto"/>
        <w:contextualSpacing/>
        <w:jc w:val="both"/>
        <w:rPr>
          <w:rFonts w:ascii="Times New Roman" w:eastAsia="Calibri" w:hAnsi="Times New Roman" w:cs="Times New Roman"/>
          <w:sz w:val="24"/>
          <w:szCs w:val="24"/>
          <w:lang w:val="es-ES"/>
        </w:rPr>
      </w:pPr>
      <w:r w:rsidRPr="002E77F9">
        <w:rPr>
          <w:rFonts w:ascii="Times New Roman" w:hAnsi="Times New Roman" w:cs="Times New Roman"/>
          <w:sz w:val="24"/>
          <w:szCs w:val="24"/>
        </w:rPr>
        <w:t xml:space="preserve">(7) </w:t>
      </w:r>
      <w:r w:rsidRPr="002E77F9">
        <w:rPr>
          <w:rFonts w:ascii="Times New Roman" w:eastAsia="Calibri" w:hAnsi="Times New Roman" w:cs="Times New Roman"/>
          <w:sz w:val="24"/>
          <w:szCs w:val="24"/>
          <w:lang w:val="es-ES"/>
        </w:rPr>
        <w:t xml:space="preserve">Universidad Técnica Estatal de Quevedo. Ecuador. </w:t>
      </w:r>
      <w:hyperlink r:id="rId19" w:history="1">
        <w:r w:rsidRPr="002E77F9">
          <w:rPr>
            <w:rFonts w:ascii="Times New Roman" w:eastAsia="Calibri" w:hAnsi="Times New Roman" w:cs="Times New Roman"/>
            <w:color w:val="0000FF"/>
            <w:sz w:val="24"/>
            <w:szCs w:val="24"/>
            <w:u w:val="single"/>
            <w:lang w:val="es-ES"/>
          </w:rPr>
          <w:t>rgaibor@uteq.ec</w:t>
        </w:r>
      </w:hyperlink>
      <w:r w:rsidRPr="002E77F9">
        <w:rPr>
          <w:rFonts w:ascii="Times New Roman" w:eastAsia="Calibri" w:hAnsi="Times New Roman" w:cs="Times New Roman"/>
          <w:sz w:val="24"/>
          <w:szCs w:val="24"/>
          <w:lang w:val="es-ES"/>
        </w:rPr>
        <w:t xml:space="preserve">. </w:t>
      </w:r>
      <w:hyperlink r:id="rId20" w:history="1">
        <w:r w:rsidRPr="002E77F9">
          <w:rPr>
            <w:rFonts w:ascii="Times New Roman" w:eastAsia="Calibri" w:hAnsi="Times New Roman" w:cs="Times New Roman"/>
            <w:color w:val="0000FF"/>
            <w:sz w:val="24"/>
            <w:szCs w:val="24"/>
            <w:u w:val="single"/>
            <w:lang w:val="es-ES"/>
          </w:rPr>
          <w:t>https://orcid.org/0000-0002-0981-2000</w:t>
        </w:r>
      </w:hyperlink>
    </w:p>
    <w:p w14:paraId="4C68130D" w14:textId="04A14960" w:rsidR="00985FCF" w:rsidRDefault="00985FCF" w:rsidP="00456F3E">
      <w:pPr>
        <w:spacing w:after="120" w:line="360" w:lineRule="auto"/>
        <w:jc w:val="right"/>
        <w:rPr>
          <w:rFonts w:ascii="Times New Roman" w:hAnsi="Times New Roman" w:cs="Times New Roman"/>
          <w:sz w:val="24"/>
          <w:szCs w:val="24"/>
        </w:rPr>
      </w:pPr>
      <w:r w:rsidRPr="00985FCF">
        <w:rPr>
          <w:rFonts w:ascii="Times New Roman" w:hAnsi="Times New Roman" w:cs="Times New Roman"/>
          <w:sz w:val="24"/>
          <w:szCs w:val="24"/>
        </w:rPr>
        <w:lastRenderedPageBreak/>
        <w:t>Co</w:t>
      </w:r>
      <w:r w:rsidR="00456F3E">
        <w:rPr>
          <w:rFonts w:ascii="Times New Roman" w:hAnsi="Times New Roman" w:cs="Times New Roman"/>
          <w:sz w:val="24"/>
          <w:szCs w:val="24"/>
        </w:rPr>
        <w:t>ntacto</w:t>
      </w:r>
      <w:r w:rsidRPr="00985FCF">
        <w:rPr>
          <w:rFonts w:ascii="Times New Roman" w:hAnsi="Times New Roman" w:cs="Times New Roman"/>
          <w:sz w:val="24"/>
          <w:szCs w:val="24"/>
        </w:rPr>
        <w:t xml:space="preserve">: </w:t>
      </w:r>
      <w:hyperlink r:id="rId21" w:history="1">
        <w:r w:rsidRPr="00985FCF">
          <w:rPr>
            <w:rFonts w:ascii="Times New Roman" w:hAnsi="Times New Roman" w:cs="Times New Roman"/>
            <w:color w:val="0563C1" w:themeColor="hyperlink"/>
            <w:sz w:val="24"/>
            <w:szCs w:val="24"/>
            <w:u w:val="single"/>
          </w:rPr>
          <w:t>oandis.sosa@gmail.com</w:t>
        </w:r>
      </w:hyperlink>
      <w:r w:rsidRPr="00985FCF">
        <w:rPr>
          <w:rFonts w:ascii="Times New Roman" w:hAnsi="Times New Roman" w:cs="Times New Roman"/>
          <w:sz w:val="24"/>
          <w:szCs w:val="24"/>
        </w:rPr>
        <w:t xml:space="preserve"> </w:t>
      </w:r>
    </w:p>
    <w:p w14:paraId="3A888FE3" w14:textId="51A8D157" w:rsidR="00CD4065" w:rsidRPr="00985FCF" w:rsidRDefault="00CD4065" w:rsidP="00456F3E">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Articulo enviado: 03/05/2026 \ Aprobado: 14/06/2026</w:t>
      </w:r>
    </w:p>
    <w:p w14:paraId="4FAFC6BE" w14:textId="77777777" w:rsidR="00985FCF" w:rsidRPr="00985FCF" w:rsidRDefault="00985FCF" w:rsidP="00F518F0">
      <w:pPr>
        <w:spacing w:after="120" w:line="360" w:lineRule="auto"/>
        <w:jc w:val="both"/>
        <w:rPr>
          <w:rFonts w:ascii="Times New Roman" w:hAnsi="Times New Roman" w:cs="Times New Roman"/>
          <w:b/>
          <w:bCs/>
          <w:sz w:val="24"/>
          <w:szCs w:val="24"/>
        </w:rPr>
      </w:pPr>
      <w:r w:rsidRPr="00985FCF">
        <w:rPr>
          <w:rFonts w:ascii="Times New Roman" w:hAnsi="Times New Roman" w:cs="Times New Roman"/>
          <w:b/>
          <w:bCs/>
          <w:sz w:val="24"/>
          <w:szCs w:val="24"/>
        </w:rPr>
        <w:t>Resumen</w:t>
      </w:r>
    </w:p>
    <w:p w14:paraId="25684BE1" w14:textId="3CA73D1B"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La evaluación integral de la sostenibilidad forestal en ecosistemas tropicales requiere enfoques innovadores que </w:t>
      </w:r>
      <w:r w:rsidR="00E95476">
        <w:rPr>
          <w:rFonts w:ascii="Times New Roman" w:hAnsi="Times New Roman" w:cs="Times New Roman"/>
          <w:sz w:val="24"/>
          <w:szCs w:val="24"/>
        </w:rPr>
        <w:t>capten</w:t>
      </w:r>
      <w:r w:rsidR="00E9547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la complejidad de los sistemas socioecológicos. </w:t>
      </w:r>
      <w:r w:rsidR="00E95476">
        <w:rPr>
          <w:rFonts w:ascii="Times New Roman" w:hAnsi="Times New Roman" w:cs="Times New Roman"/>
          <w:sz w:val="24"/>
          <w:szCs w:val="24"/>
        </w:rPr>
        <w:t>En este</w:t>
      </w:r>
      <w:r w:rsidR="00E95476" w:rsidRPr="00985FCF">
        <w:rPr>
          <w:rFonts w:ascii="Times New Roman" w:hAnsi="Times New Roman" w:cs="Times New Roman"/>
          <w:sz w:val="24"/>
          <w:szCs w:val="24"/>
        </w:rPr>
        <w:t xml:space="preserve"> </w:t>
      </w:r>
      <w:r w:rsidRPr="00985FCF">
        <w:rPr>
          <w:rFonts w:ascii="Times New Roman" w:hAnsi="Times New Roman" w:cs="Times New Roman"/>
          <w:sz w:val="24"/>
          <w:szCs w:val="24"/>
        </w:rPr>
        <w:t>estudio</w:t>
      </w:r>
      <w:r w:rsidR="00E95476">
        <w:rPr>
          <w:rFonts w:ascii="Times New Roman" w:hAnsi="Times New Roman" w:cs="Times New Roman"/>
          <w:sz w:val="24"/>
          <w:szCs w:val="24"/>
        </w:rPr>
        <w:t>, se</w:t>
      </w:r>
      <w:r w:rsidRPr="00985FCF">
        <w:rPr>
          <w:rFonts w:ascii="Times New Roman" w:hAnsi="Times New Roman" w:cs="Times New Roman"/>
          <w:sz w:val="24"/>
          <w:szCs w:val="24"/>
        </w:rPr>
        <w:t xml:space="preserve"> analizó la dinámica de</w:t>
      </w:r>
      <w:r w:rsidR="00E95476">
        <w:rPr>
          <w:rFonts w:ascii="Times New Roman" w:hAnsi="Times New Roman" w:cs="Times New Roman"/>
          <w:sz w:val="24"/>
          <w:szCs w:val="24"/>
        </w:rPr>
        <w:t xml:space="preserve"> los</w:t>
      </w:r>
      <w:r w:rsidRPr="00985FCF">
        <w:rPr>
          <w:rFonts w:ascii="Times New Roman" w:hAnsi="Times New Roman" w:cs="Times New Roman"/>
          <w:sz w:val="24"/>
          <w:szCs w:val="24"/>
        </w:rPr>
        <w:t xml:space="preserve"> indicadores de sostenibilidad ambiental y productividad forestal en la </w:t>
      </w:r>
      <w:r w:rsidR="00E95476">
        <w:rPr>
          <w:rFonts w:ascii="Times New Roman" w:hAnsi="Times New Roman" w:cs="Times New Roman"/>
          <w:sz w:val="24"/>
          <w:szCs w:val="24"/>
        </w:rPr>
        <w:t>Unidad Empresaril de Base</w:t>
      </w:r>
      <w:r w:rsidR="00E9547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Silvícola Guisa (Cuba) </w:t>
      </w:r>
      <w:r w:rsidR="00E95476">
        <w:rPr>
          <w:rFonts w:ascii="Times New Roman" w:hAnsi="Times New Roman" w:cs="Times New Roman"/>
          <w:sz w:val="24"/>
          <w:szCs w:val="24"/>
        </w:rPr>
        <w:t>entre 2013 y 2024, para lo cual se ut</w:t>
      </w:r>
      <w:r w:rsidR="008A3B09">
        <w:rPr>
          <w:rFonts w:ascii="Times New Roman" w:hAnsi="Times New Roman" w:cs="Times New Roman"/>
          <w:sz w:val="24"/>
          <w:szCs w:val="24"/>
        </w:rPr>
        <w:t>i</w:t>
      </w:r>
      <w:r w:rsidR="00E95476">
        <w:rPr>
          <w:rFonts w:ascii="Times New Roman" w:hAnsi="Times New Roman" w:cs="Times New Roman"/>
          <w:sz w:val="24"/>
          <w:szCs w:val="24"/>
        </w:rPr>
        <w:t>lizó</w:t>
      </w:r>
      <w:r w:rsidRPr="00985FCF">
        <w:rPr>
          <w:rFonts w:ascii="Times New Roman" w:hAnsi="Times New Roman" w:cs="Times New Roman"/>
          <w:sz w:val="24"/>
          <w:szCs w:val="24"/>
        </w:rPr>
        <w:t xml:space="preserve"> el modelo de inteligencia artificial DeepSeek IA-V3 como herramienta analítica central mediante un diseño metodológico mixto longitudinal. La selección de indicadores se realizó mediante un proceso sistemático </w:t>
      </w:r>
      <w:r w:rsidR="008A3B09">
        <w:rPr>
          <w:rFonts w:ascii="Times New Roman" w:hAnsi="Times New Roman" w:cs="Times New Roman"/>
          <w:sz w:val="24"/>
          <w:szCs w:val="24"/>
        </w:rPr>
        <w:t xml:space="preserve">conformado por </w:t>
      </w:r>
      <w:r w:rsidRPr="00985FCF">
        <w:rPr>
          <w:rFonts w:ascii="Times New Roman" w:hAnsi="Times New Roman" w:cs="Times New Roman"/>
          <w:sz w:val="24"/>
          <w:szCs w:val="24"/>
        </w:rPr>
        <w:t>cuatro etapas con DeepSeek IA-V3</w:t>
      </w:r>
      <w:r w:rsidR="008A3B09">
        <w:rPr>
          <w:rFonts w:ascii="Times New Roman" w:hAnsi="Times New Roman" w:cs="Times New Roman"/>
          <w:sz w:val="24"/>
          <w:szCs w:val="24"/>
        </w:rPr>
        <w:t>,</w:t>
      </w:r>
      <w:r w:rsidRPr="00985FCF">
        <w:rPr>
          <w:rFonts w:ascii="Times New Roman" w:hAnsi="Times New Roman" w:cs="Times New Roman"/>
          <w:sz w:val="24"/>
          <w:szCs w:val="24"/>
        </w:rPr>
        <w:t xml:space="preserve"> que incluyó </w:t>
      </w:r>
      <w:r w:rsidR="008A3B09">
        <w:rPr>
          <w:rFonts w:ascii="Times New Roman" w:hAnsi="Times New Roman" w:cs="Times New Roman"/>
          <w:sz w:val="24"/>
          <w:szCs w:val="24"/>
        </w:rPr>
        <w:t xml:space="preserve">una </w:t>
      </w:r>
      <w:r w:rsidRPr="00985FCF">
        <w:rPr>
          <w:rFonts w:ascii="Times New Roman" w:hAnsi="Times New Roman" w:cs="Times New Roman"/>
          <w:sz w:val="24"/>
          <w:szCs w:val="24"/>
        </w:rPr>
        <w:t>búsqueda de literatura</w:t>
      </w:r>
      <w:r w:rsidR="008A3B09">
        <w:rPr>
          <w:rFonts w:ascii="Times New Roman" w:hAnsi="Times New Roman" w:cs="Times New Roman"/>
          <w:sz w:val="24"/>
          <w:szCs w:val="24"/>
        </w:rPr>
        <w:t xml:space="preserve"> científica relevante, la aplicación de</w:t>
      </w:r>
      <w:r w:rsidRPr="00985FCF">
        <w:rPr>
          <w:rFonts w:ascii="Times New Roman" w:hAnsi="Times New Roman" w:cs="Times New Roman"/>
          <w:sz w:val="24"/>
          <w:szCs w:val="24"/>
        </w:rPr>
        <w:t xml:space="preserve"> filtros de relevancia, </w:t>
      </w:r>
      <w:r w:rsidR="008A3B09">
        <w:rPr>
          <w:rFonts w:ascii="Times New Roman" w:hAnsi="Times New Roman" w:cs="Times New Roman"/>
          <w:sz w:val="24"/>
          <w:szCs w:val="24"/>
        </w:rPr>
        <w:t xml:space="preserve">una </w:t>
      </w:r>
      <w:r w:rsidRPr="00985FCF">
        <w:rPr>
          <w:rFonts w:ascii="Times New Roman" w:hAnsi="Times New Roman" w:cs="Times New Roman"/>
          <w:sz w:val="24"/>
          <w:szCs w:val="24"/>
        </w:rPr>
        <w:t>valoración multicriterio (AHP</w:t>
      </w:r>
      <w:r w:rsidR="008A3B09">
        <w:rPr>
          <w:rFonts w:ascii="Times New Roman" w:hAnsi="Times New Roman" w:cs="Times New Roman"/>
          <w:sz w:val="24"/>
          <w:szCs w:val="24"/>
        </w:rPr>
        <w:t>, por sus siglas en inglés</w:t>
      </w:r>
      <w:r w:rsidRPr="00985FCF">
        <w:rPr>
          <w:rFonts w:ascii="Times New Roman" w:hAnsi="Times New Roman" w:cs="Times New Roman"/>
          <w:sz w:val="24"/>
          <w:szCs w:val="24"/>
        </w:rPr>
        <w:t xml:space="preserve">) y </w:t>
      </w:r>
      <w:r w:rsidR="008A3B09">
        <w:rPr>
          <w:rFonts w:ascii="Times New Roman" w:hAnsi="Times New Roman" w:cs="Times New Roman"/>
          <w:sz w:val="24"/>
          <w:szCs w:val="24"/>
        </w:rPr>
        <w:t xml:space="preserve">la </w:t>
      </w:r>
      <w:r w:rsidRPr="00985FCF">
        <w:rPr>
          <w:rFonts w:ascii="Times New Roman" w:hAnsi="Times New Roman" w:cs="Times New Roman"/>
          <w:sz w:val="24"/>
          <w:szCs w:val="24"/>
        </w:rPr>
        <w:t>validación por expertos (técnica Delphi</w:t>
      </w:r>
      <w:r w:rsidR="008A3B09" w:rsidRPr="00985FCF">
        <w:rPr>
          <w:rFonts w:ascii="Times New Roman" w:hAnsi="Times New Roman" w:cs="Times New Roman"/>
          <w:sz w:val="24"/>
          <w:szCs w:val="24"/>
        </w:rPr>
        <w:t>)</w:t>
      </w:r>
      <w:r w:rsidR="008A3B09">
        <w:rPr>
          <w:rFonts w:ascii="Times New Roman" w:hAnsi="Times New Roman" w:cs="Times New Roman"/>
          <w:sz w:val="24"/>
          <w:szCs w:val="24"/>
        </w:rPr>
        <w:t>. En la integración de los</w:t>
      </w:r>
      <w:r w:rsidRPr="00985FCF">
        <w:rPr>
          <w:rFonts w:ascii="Times New Roman" w:hAnsi="Times New Roman" w:cs="Times New Roman"/>
          <w:sz w:val="24"/>
          <w:szCs w:val="24"/>
        </w:rPr>
        <w:t xml:space="preserve"> registros institucionales, </w:t>
      </w:r>
      <w:r w:rsidR="008A3B09">
        <w:rPr>
          <w:rFonts w:ascii="Times New Roman" w:hAnsi="Times New Roman" w:cs="Times New Roman"/>
          <w:sz w:val="24"/>
          <w:szCs w:val="24"/>
        </w:rPr>
        <w:t xml:space="preserve">los </w:t>
      </w:r>
      <w:r w:rsidRPr="00985FCF">
        <w:rPr>
          <w:rFonts w:ascii="Times New Roman" w:hAnsi="Times New Roman" w:cs="Times New Roman"/>
          <w:sz w:val="24"/>
          <w:szCs w:val="24"/>
        </w:rPr>
        <w:t xml:space="preserve">sensores remotos (Sentinel-2, Landsat 8) y </w:t>
      </w:r>
      <w:r w:rsidR="008A3B09">
        <w:rPr>
          <w:rFonts w:ascii="Times New Roman" w:hAnsi="Times New Roman" w:cs="Times New Roman"/>
          <w:sz w:val="24"/>
          <w:szCs w:val="24"/>
        </w:rPr>
        <w:t xml:space="preserve">las </w:t>
      </w:r>
      <w:r w:rsidRPr="00985FCF">
        <w:rPr>
          <w:rFonts w:ascii="Times New Roman" w:hAnsi="Times New Roman" w:cs="Times New Roman"/>
          <w:sz w:val="24"/>
          <w:szCs w:val="24"/>
        </w:rPr>
        <w:t xml:space="preserve">mediciones </w:t>
      </w:r>
      <w:r w:rsidRPr="00985FCF">
        <w:rPr>
          <w:rFonts w:ascii="Times New Roman" w:hAnsi="Times New Roman" w:cs="Times New Roman"/>
          <w:i/>
          <w:iCs/>
          <w:sz w:val="24"/>
          <w:szCs w:val="24"/>
        </w:rPr>
        <w:t>in situ</w:t>
      </w:r>
      <w:r w:rsidRPr="00985FCF">
        <w:rPr>
          <w:rFonts w:ascii="Times New Roman" w:hAnsi="Times New Roman" w:cs="Times New Roman"/>
          <w:sz w:val="24"/>
          <w:szCs w:val="24"/>
        </w:rPr>
        <w:t xml:space="preserve"> en 45 parcelas de verificación</w:t>
      </w:r>
      <w:r w:rsidR="008030DE">
        <w:rPr>
          <w:rFonts w:ascii="Times New Roman" w:hAnsi="Times New Roman" w:cs="Times New Roman"/>
          <w:sz w:val="24"/>
          <w:szCs w:val="24"/>
        </w:rPr>
        <w:t xml:space="preserve"> se emplearon métodos exhaustivos y rigurosos</w:t>
      </w:r>
      <w:r w:rsidRPr="00985FCF">
        <w:rPr>
          <w:rFonts w:ascii="Times New Roman" w:hAnsi="Times New Roman" w:cs="Times New Roman"/>
          <w:sz w:val="24"/>
          <w:szCs w:val="24"/>
        </w:rPr>
        <w:t xml:space="preserve">. El análisis </w:t>
      </w:r>
      <w:r w:rsidR="008030DE">
        <w:rPr>
          <w:rFonts w:ascii="Times New Roman" w:hAnsi="Times New Roman" w:cs="Times New Roman"/>
          <w:sz w:val="24"/>
          <w:szCs w:val="24"/>
        </w:rPr>
        <w:t xml:space="preserve">realizado </w:t>
      </w:r>
      <w:r w:rsidRPr="00985FCF">
        <w:rPr>
          <w:rFonts w:ascii="Times New Roman" w:hAnsi="Times New Roman" w:cs="Times New Roman"/>
          <w:sz w:val="24"/>
          <w:szCs w:val="24"/>
        </w:rPr>
        <w:t>reveló puntos de inflexión críticos: el Índice de Cobertura Forestal (ICF) mostró una evolución bimodal con regresión post-2018 (50</w:t>
      </w:r>
      <w:r w:rsidR="000606FF">
        <w:rPr>
          <w:rFonts w:ascii="Times New Roman" w:hAnsi="Times New Roman" w:cs="Times New Roman"/>
          <w:sz w:val="24"/>
          <w:szCs w:val="24"/>
        </w:rPr>
        <w:t>,</w:t>
      </w:r>
      <w:r w:rsidRPr="00985FCF">
        <w:rPr>
          <w:rFonts w:ascii="Times New Roman" w:hAnsi="Times New Roman" w:cs="Times New Roman"/>
          <w:sz w:val="24"/>
          <w:szCs w:val="24"/>
        </w:rPr>
        <w:t>13</w:t>
      </w:r>
      <w:r w:rsidR="000606FF">
        <w:rPr>
          <w:rFonts w:ascii="Times New Roman" w:hAnsi="Times New Roman" w:cs="Times New Roman"/>
          <w:sz w:val="24"/>
          <w:szCs w:val="24"/>
        </w:rPr>
        <w:t xml:space="preserve"> </w:t>
      </w:r>
      <w:r w:rsidRPr="00985FCF">
        <w:rPr>
          <w:rFonts w:ascii="Times New Roman" w:hAnsi="Times New Roman" w:cs="Times New Roman"/>
          <w:sz w:val="24"/>
          <w:szCs w:val="24"/>
        </w:rPr>
        <w:t>% a 46</w:t>
      </w:r>
      <w:r w:rsidR="000606FF">
        <w:rPr>
          <w:rFonts w:ascii="Times New Roman" w:hAnsi="Times New Roman" w:cs="Times New Roman"/>
          <w:sz w:val="24"/>
          <w:szCs w:val="24"/>
        </w:rPr>
        <w:t>,</w:t>
      </w:r>
      <w:r w:rsidRPr="00985FCF">
        <w:rPr>
          <w:rFonts w:ascii="Times New Roman" w:hAnsi="Times New Roman" w:cs="Times New Roman"/>
          <w:sz w:val="24"/>
          <w:szCs w:val="24"/>
        </w:rPr>
        <w:t>74</w:t>
      </w:r>
      <w:r w:rsidR="000606FF">
        <w:rPr>
          <w:rFonts w:ascii="Times New Roman" w:hAnsi="Times New Roman" w:cs="Times New Roman"/>
          <w:sz w:val="24"/>
          <w:szCs w:val="24"/>
        </w:rPr>
        <w:t xml:space="preserve"> </w:t>
      </w:r>
      <w:r w:rsidRPr="00985FCF">
        <w:rPr>
          <w:rFonts w:ascii="Times New Roman" w:hAnsi="Times New Roman" w:cs="Times New Roman"/>
          <w:sz w:val="24"/>
          <w:szCs w:val="24"/>
        </w:rPr>
        <w:t>%, R²=0</w:t>
      </w:r>
      <w:r w:rsidR="000606FF">
        <w:rPr>
          <w:rFonts w:ascii="Times New Roman" w:hAnsi="Times New Roman" w:cs="Times New Roman"/>
          <w:sz w:val="24"/>
          <w:szCs w:val="24"/>
        </w:rPr>
        <w:t>,</w:t>
      </w:r>
      <w:r w:rsidRPr="00985FCF">
        <w:rPr>
          <w:rFonts w:ascii="Times New Roman" w:hAnsi="Times New Roman" w:cs="Times New Roman"/>
          <w:sz w:val="24"/>
          <w:szCs w:val="24"/>
        </w:rPr>
        <w:t xml:space="preserve">89), y el Índice de Cambio de Cobertura Forestal (ICCF) cruzó a valores negativos en 2019, marcando una transición a pérdida neta. Se identificó una disociación sistémica entre sostenibilidad ecológica y económica, evidenciada por la estabilidad artificial del Índice de Rentabilidad Financiera (IRF) frente al colapso productivo (IPM reducido </w:t>
      </w:r>
      <w:r w:rsidR="008030DE">
        <w:rPr>
          <w:rFonts w:ascii="Times New Roman" w:hAnsi="Times New Roman" w:cs="Times New Roman"/>
          <w:sz w:val="24"/>
          <w:szCs w:val="24"/>
        </w:rPr>
        <w:t xml:space="preserve">en un </w:t>
      </w:r>
      <w:r w:rsidRPr="00985FCF">
        <w:rPr>
          <w:rFonts w:ascii="Times New Roman" w:hAnsi="Times New Roman" w:cs="Times New Roman"/>
          <w:sz w:val="24"/>
          <w:szCs w:val="24"/>
        </w:rPr>
        <w:t>87</w:t>
      </w:r>
      <w:r w:rsidR="000606FF">
        <w:rPr>
          <w:rFonts w:ascii="Times New Roman" w:hAnsi="Times New Roman" w:cs="Times New Roman"/>
          <w:sz w:val="24"/>
          <w:szCs w:val="24"/>
        </w:rPr>
        <w:t xml:space="preserve"> </w:t>
      </w:r>
      <w:r w:rsidRPr="00985FCF">
        <w:rPr>
          <w:rFonts w:ascii="Times New Roman" w:hAnsi="Times New Roman" w:cs="Times New Roman"/>
          <w:sz w:val="24"/>
          <w:szCs w:val="24"/>
        </w:rPr>
        <w:t>% en</w:t>
      </w:r>
      <w:r w:rsidR="008030DE">
        <w:rPr>
          <w:rFonts w:ascii="Times New Roman" w:hAnsi="Times New Roman" w:cs="Times New Roman"/>
          <w:sz w:val="24"/>
          <w:szCs w:val="24"/>
        </w:rPr>
        <w:t>tre</w:t>
      </w:r>
      <w:r w:rsidRPr="00985FCF">
        <w:rPr>
          <w:rFonts w:ascii="Times New Roman" w:hAnsi="Times New Roman" w:cs="Times New Roman"/>
          <w:sz w:val="24"/>
          <w:szCs w:val="24"/>
        </w:rPr>
        <w:t xml:space="preserve"> 2015</w:t>
      </w:r>
      <w:r w:rsidR="008030DE">
        <w:rPr>
          <w:rFonts w:ascii="Times New Roman" w:hAnsi="Times New Roman" w:cs="Times New Roman"/>
          <w:sz w:val="24"/>
          <w:szCs w:val="24"/>
        </w:rPr>
        <w:t xml:space="preserve"> y </w:t>
      </w:r>
      <w:r w:rsidRPr="00985FCF">
        <w:rPr>
          <w:rFonts w:ascii="Times New Roman" w:hAnsi="Times New Roman" w:cs="Times New Roman"/>
          <w:sz w:val="24"/>
          <w:szCs w:val="24"/>
        </w:rPr>
        <w:t>2016) y la disminución crítica de la capacidad de carga forestal (ICCF ≈0.00 en</w:t>
      </w:r>
      <w:r w:rsidR="008030DE">
        <w:rPr>
          <w:rFonts w:ascii="Times New Roman" w:hAnsi="Times New Roman" w:cs="Times New Roman"/>
          <w:sz w:val="24"/>
          <w:szCs w:val="24"/>
        </w:rPr>
        <w:t>tre</w:t>
      </w:r>
      <w:r w:rsidRPr="00985FCF">
        <w:rPr>
          <w:rFonts w:ascii="Times New Roman" w:hAnsi="Times New Roman" w:cs="Times New Roman"/>
          <w:sz w:val="24"/>
          <w:szCs w:val="24"/>
        </w:rPr>
        <w:t xml:space="preserve"> 2021</w:t>
      </w:r>
      <w:r w:rsidR="008030DE">
        <w:rPr>
          <w:rFonts w:ascii="Times New Roman" w:hAnsi="Times New Roman" w:cs="Times New Roman"/>
          <w:sz w:val="24"/>
          <w:szCs w:val="24"/>
        </w:rPr>
        <w:t xml:space="preserve"> y </w:t>
      </w:r>
      <w:r w:rsidRPr="00985FCF">
        <w:rPr>
          <w:rFonts w:ascii="Times New Roman" w:hAnsi="Times New Roman" w:cs="Times New Roman"/>
          <w:sz w:val="24"/>
          <w:szCs w:val="24"/>
        </w:rPr>
        <w:t xml:space="preserve">2024). La aplicación de DeepSeek-V3 </w:t>
      </w:r>
      <w:r w:rsidR="008030DE">
        <w:rPr>
          <w:rFonts w:ascii="Times New Roman" w:hAnsi="Times New Roman" w:cs="Times New Roman"/>
          <w:sz w:val="24"/>
          <w:szCs w:val="24"/>
        </w:rPr>
        <w:t>ha demostrado</w:t>
      </w:r>
      <w:r w:rsidR="008030DE"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su eficacia </w:t>
      </w:r>
      <w:r w:rsidR="008030DE">
        <w:rPr>
          <w:rFonts w:ascii="Times New Roman" w:hAnsi="Times New Roman" w:cs="Times New Roman"/>
          <w:sz w:val="24"/>
          <w:szCs w:val="24"/>
        </w:rPr>
        <w:t>en la identificación de</w:t>
      </w:r>
      <w:r w:rsidRPr="00985FCF">
        <w:rPr>
          <w:rFonts w:ascii="Times New Roman" w:hAnsi="Times New Roman" w:cs="Times New Roman"/>
          <w:sz w:val="24"/>
          <w:szCs w:val="24"/>
        </w:rPr>
        <w:t xml:space="preserve"> patrones no lineales y relaciones críticas, </w:t>
      </w:r>
      <w:r w:rsidR="008030DE">
        <w:rPr>
          <w:rFonts w:ascii="Times New Roman" w:hAnsi="Times New Roman" w:cs="Times New Roman"/>
          <w:sz w:val="24"/>
          <w:szCs w:val="24"/>
        </w:rPr>
        <w:t>lo que proporciona</w:t>
      </w:r>
      <w:r w:rsidR="008030DE"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una base </w:t>
      </w:r>
      <w:r w:rsidR="008030DE">
        <w:rPr>
          <w:rFonts w:ascii="Times New Roman" w:hAnsi="Times New Roman" w:cs="Times New Roman"/>
          <w:sz w:val="24"/>
          <w:szCs w:val="24"/>
        </w:rPr>
        <w:t>sólida</w:t>
      </w:r>
      <w:r w:rsidR="008030DE"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para la gestión adaptativa de </w:t>
      </w:r>
      <w:r w:rsidR="008030DE">
        <w:rPr>
          <w:rFonts w:ascii="Times New Roman" w:hAnsi="Times New Roman" w:cs="Times New Roman"/>
          <w:sz w:val="24"/>
          <w:szCs w:val="24"/>
        </w:rPr>
        <w:t xml:space="preserve">los </w:t>
      </w:r>
      <w:r w:rsidRPr="00985FCF">
        <w:rPr>
          <w:rFonts w:ascii="Times New Roman" w:hAnsi="Times New Roman" w:cs="Times New Roman"/>
          <w:sz w:val="24"/>
          <w:szCs w:val="24"/>
        </w:rPr>
        <w:t>ecosistemas forestales.</w:t>
      </w:r>
    </w:p>
    <w:p w14:paraId="2D33BCF3" w14:textId="00547076" w:rsid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b/>
          <w:bCs/>
          <w:sz w:val="24"/>
          <w:szCs w:val="24"/>
        </w:rPr>
        <w:t>Palabras clave:</w:t>
      </w:r>
      <w:r w:rsidRPr="00985FCF">
        <w:rPr>
          <w:rFonts w:ascii="Times New Roman" w:hAnsi="Times New Roman" w:cs="Times New Roman"/>
          <w:sz w:val="24"/>
          <w:szCs w:val="24"/>
        </w:rPr>
        <w:t xml:space="preserve"> inteligencia artificial</w:t>
      </w:r>
      <w:r w:rsidR="0076249F">
        <w:rPr>
          <w:rFonts w:ascii="Times New Roman" w:hAnsi="Times New Roman" w:cs="Times New Roman"/>
          <w:sz w:val="24"/>
          <w:szCs w:val="24"/>
        </w:rPr>
        <w:t>;</w:t>
      </w:r>
      <w:r w:rsidRPr="00985FCF">
        <w:rPr>
          <w:rFonts w:ascii="Times New Roman" w:hAnsi="Times New Roman" w:cs="Times New Roman"/>
          <w:sz w:val="24"/>
          <w:szCs w:val="24"/>
        </w:rPr>
        <w:t xml:space="preserve"> gestión forestal</w:t>
      </w:r>
      <w:r w:rsidR="0076249F">
        <w:rPr>
          <w:rFonts w:ascii="Times New Roman" w:hAnsi="Times New Roman" w:cs="Times New Roman"/>
          <w:sz w:val="24"/>
          <w:szCs w:val="24"/>
        </w:rPr>
        <w:t>;</w:t>
      </w:r>
      <w:r w:rsidRPr="00985FCF">
        <w:rPr>
          <w:rFonts w:ascii="Times New Roman" w:hAnsi="Times New Roman" w:cs="Times New Roman"/>
          <w:sz w:val="24"/>
          <w:szCs w:val="24"/>
        </w:rPr>
        <w:t xml:space="preserve"> análisis predictivo.</w:t>
      </w:r>
    </w:p>
    <w:p w14:paraId="136D9841" w14:textId="6B39D55D" w:rsidR="00DC769D" w:rsidRPr="00E95476" w:rsidRDefault="00DC769D" w:rsidP="00F518F0">
      <w:pPr>
        <w:spacing w:after="120" w:line="360" w:lineRule="auto"/>
        <w:jc w:val="both"/>
        <w:rPr>
          <w:rFonts w:ascii="Times New Roman" w:hAnsi="Times New Roman" w:cs="Times New Roman"/>
          <w:b/>
          <w:bCs/>
          <w:sz w:val="24"/>
          <w:szCs w:val="24"/>
          <w:lang w:val="en-US"/>
        </w:rPr>
      </w:pPr>
      <w:r w:rsidRPr="00E95476">
        <w:rPr>
          <w:rFonts w:ascii="Times New Roman" w:hAnsi="Times New Roman" w:cs="Times New Roman"/>
          <w:b/>
          <w:bCs/>
          <w:sz w:val="24"/>
          <w:szCs w:val="24"/>
          <w:lang w:val="en-US"/>
        </w:rPr>
        <w:t>Abstract</w:t>
      </w:r>
    </w:p>
    <w:p w14:paraId="29681499" w14:textId="77777777" w:rsidR="00327073" w:rsidRDefault="00327073" w:rsidP="00327073">
      <w:pPr>
        <w:spacing w:after="120" w:line="360" w:lineRule="auto"/>
        <w:jc w:val="both"/>
        <w:rPr>
          <w:rFonts w:ascii="Times New Roman" w:hAnsi="Times New Roman" w:cs="Times New Roman"/>
          <w:sz w:val="24"/>
          <w:szCs w:val="24"/>
          <w:shd w:val="clear" w:color="auto" w:fill="FFFFFF"/>
          <w:lang w:val="en-US"/>
        </w:rPr>
      </w:pPr>
      <w:r w:rsidRPr="00327073">
        <w:rPr>
          <w:rFonts w:ascii="Times New Roman" w:hAnsi="Times New Roman" w:cs="Times New Roman"/>
          <w:sz w:val="24"/>
          <w:szCs w:val="24"/>
          <w:shd w:val="clear" w:color="auto" w:fill="FFFFFF"/>
          <w:lang w:val="en-US"/>
        </w:rPr>
        <w:t xml:space="preserve">A comprehensive assessment of forest sustainability in tropical ecosystems requires innovative approaches that capture the complexity of socio-ecological systems. In this study, we analyzed the dynamics of environmental sustainability and forest productivity indicators at the Guisa Forestry-Based Business Unit (Cuba) between 2013 and 2024, using the DeepSeek AI-V3 artificial </w:t>
      </w:r>
      <w:r w:rsidRPr="00327073">
        <w:rPr>
          <w:rFonts w:ascii="Times New Roman" w:hAnsi="Times New Roman" w:cs="Times New Roman"/>
          <w:sz w:val="24"/>
          <w:szCs w:val="24"/>
          <w:shd w:val="clear" w:color="auto" w:fill="FFFFFF"/>
          <w:lang w:val="en-US"/>
        </w:rPr>
        <w:lastRenderedPageBreak/>
        <w:t>intelligence model as the central analytical tool within a mixed-methods longitudinal design. Indicators were selected through a systematic four-stage process using DeepSeek IA-V3, which included a search for relevant scientific literature, the application of relevance filters, a multi-criteria evaluation (AHP), and expert validation (Delphi technique). Comprehensive and rigorous methods were employed to integrate institutional records, remote sensing data (Sentinel-2, Landsat 8), and in situ measurements from 45 verification plots. The analysis revealed critical turning points: the Forest Cover Index (FCI) showed a bimodal trend with a decline after 2018 (50.13% to 46.74%, R²=0.89), and the Forest Cover Change Index (FCCI) turned negative in 2019, marking a transition to net loss. A systemic decoupling between ecological and economic sustainability was identified, evidenced by the artificial stability of the Financial Profitability Index (IRF) in contrast to the collapse in production (IPM reduced by 87% between 2015 and 2016) and the critical decline in forest carrying capacity (ICCF ≈0.00 between 2021 and 2024). The application of DeepSeek-V3 has proven effective in identifying nonlinear patterns and critical relationships, providing a solid foundation for the adaptive management of forest ecosystems.</w:t>
      </w:r>
    </w:p>
    <w:p w14:paraId="6EC04799" w14:textId="7F4AD2FE" w:rsidR="0057742B" w:rsidRPr="00327073" w:rsidRDefault="0057742B" w:rsidP="00327073">
      <w:pPr>
        <w:spacing w:after="120" w:line="360" w:lineRule="auto"/>
        <w:jc w:val="both"/>
        <w:rPr>
          <w:rFonts w:ascii="Times New Roman" w:hAnsi="Times New Roman" w:cs="Times New Roman"/>
          <w:sz w:val="24"/>
          <w:szCs w:val="24"/>
          <w:shd w:val="clear" w:color="auto" w:fill="FFFFFF"/>
          <w:lang w:val="en-US"/>
        </w:rPr>
      </w:pPr>
      <w:r w:rsidRPr="0057742B">
        <w:rPr>
          <w:rFonts w:ascii="Times New Roman" w:hAnsi="Times New Roman" w:cs="Times New Roman"/>
          <w:b/>
          <w:bCs/>
          <w:sz w:val="24"/>
          <w:szCs w:val="24"/>
          <w:shd w:val="clear" w:color="auto" w:fill="FFFFFF"/>
          <w:lang w:val="en-US"/>
        </w:rPr>
        <w:t>Key words:</w:t>
      </w:r>
      <w:r w:rsidRPr="0057742B">
        <w:rPr>
          <w:rFonts w:ascii="Times New Roman" w:hAnsi="Times New Roman" w:cs="Times New Roman"/>
          <w:sz w:val="24"/>
          <w:szCs w:val="24"/>
          <w:shd w:val="clear" w:color="auto" w:fill="FFFFFF"/>
          <w:lang w:val="en-US"/>
        </w:rPr>
        <w:t xml:space="preserve"> artificial intelligence; forest management; predictive analytics.</w:t>
      </w:r>
    </w:p>
    <w:p w14:paraId="3ADC35B9" w14:textId="3D70E72C" w:rsidR="00985FCF" w:rsidRPr="00327073" w:rsidRDefault="008030DE" w:rsidP="00327073">
      <w:pPr>
        <w:spacing w:after="120" w:line="360" w:lineRule="auto"/>
        <w:jc w:val="both"/>
        <w:rPr>
          <w:rFonts w:ascii="Times New Roman" w:hAnsi="Times New Roman" w:cs="Times New Roman"/>
          <w:b/>
          <w:bCs/>
          <w:sz w:val="24"/>
          <w:szCs w:val="24"/>
          <w:lang w:val="en-US"/>
        </w:rPr>
      </w:pPr>
      <w:r w:rsidRPr="00327073">
        <w:rPr>
          <w:rFonts w:ascii="Times New Roman" w:hAnsi="Times New Roman" w:cs="Times New Roman"/>
          <w:b/>
          <w:bCs/>
          <w:sz w:val="24"/>
          <w:szCs w:val="24"/>
          <w:lang w:val="en-US"/>
        </w:rPr>
        <w:t>Introducción</w:t>
      </w:r>
    </w:p>
    <w:p w14:paraId="2D05D95E" w14:textId="3C5E4D7A"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Los ecosistemas forestales tropicales constituyen componentes fundamentales para el mantenimiento de la biodiversidad global y la provisión de servicios ecosistémicos esenciales</w:t>
      </w:r>
      <w:r w:rsidR="008030DE">
        <w:rPr>
          <w:rFonts w:ascii="Times New Roman" w:hAnsi="Times New Roman" w:cs="Times New Roman"/>
          <w:sz w:val="24"/>
          <w:szCs w:val="24"/>
        </w:rPr>
        <w:t>. En este sentido,</w:t>
      </w:r>
      <w:r w:rsidRPr="00985FCF">
        <w:rPr>
          <w:rFonts w:ascii="Times New Roman" w:hAnsi="Times New Roman" w:cs="Times New Roman"/>
          <w:sz w:val="24"/>
          <w:szCs w:val="24"/>
        </w:rPr>
        <w:t xml:space="preserve"> la gestión forestal sostenible </w:t>
      </w:r>
      <w:r w:rsidR="008030DE">
        <w:rPr>
          <w:rFonts w:ascii="Times New Roman" w:hAnsi="Times New Roman" w:cs="Times New Roman"/>
          <w:sz w:val="24"/>
          <w:szCs w:val="24"/>
        </w:rPr>
        <w:t xml:space="preserve">se erige como </w:t>
      </w:r>
      <w:r w:rsidRPr="00985FCF">
        <w:rPr>
          <w:rFonts w:ascii="Times New Roman" w:hAnsi="Times New Roman" w:cs="Times New Roman"/>
          <w:sz w:val="24"/>
          <w:szCs w:val="24"/>
        </w:rPr>
        <w:t xml:space="preserve">un paradigma crucial para conciliar la conservación de estos entornos con los beneficios socioeconómicos que generan (Ali et al., 2025). </w:t>
      </w:r>
      <w:r w:rsidR="008030DE">
        <w:rPr>
          <w:rFonts w:ascii="Times New Roman" w:hAnsi="Times New Roman" w:cs="Times New Roman"/>
          <w:sz w:val="24"/>
          <w:szCs w:val="24"/>
        </w:rPr>
        <w:t>No obstante</w:t>
      </w:r>
      <w:r w:rsidRPr="00985FCF">
        <w:rPr>
          <w:rFonts w:ascii="Times New Roman" w:hAnsi="Times New Roman" w:cs="Times New Roman"/>
          <w:sz w:val="24"/>
          <w:szCs w:val="24"/>
        </w:rPr>
        <w:t xml:space="preserve">, la evaluación integral de la sostenibilidad en </w:t>
      </w:r>
      <w:r w:rsidR="008030DE">
        <w:rPr>
          <w:rFonts w:ascii="Times New Roman" w:hAnsi="Times New Roman" w:cs="Times New Roman"/>
          <w:sz w:val="24"/>
          <w:szCs w:val="24"/>
        </w:rPr>
        <w:t>dichos</w:t>
      </w:r>
      <w:r w:rsidR="008030DE"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sistemas socioecológicos complejos </w:t>
      </w:r>
      <w:r w:rsidR="008030DE">
        <w:rPr>
          <w:rFonts w:ascii="Times New Roman" w:hAnsi="Times New Roman" w:cs="Times New Roman"/>
          <w:sz w:val="24"/>
          <w:szCs w:val="24"/>
        </w:rPr>
        <w:t xml:space="preserve">se </w:t>
      </w:r>
      <w:r w:rsidRPr="00985FCF">
        <w:rPr>
          <w:rFonts w:ascii="Times New Roman" w:hAnsi="Times New Roman" w:cs="Times New Roman"/>
          <w:sz w:val="24"/>
          <w:szCs w:val="24"/>
        </w:rPr>
        <w:t xml:space="preserve">enfrenta </w:t>
      </w:r>
      <w:r w:rsidR="008030DE">
        <w:rPr>
          <w:rFonts w:ascii="Times New Roman" w:hAnsi="Times New Roman" w:cs="Times New Roman"/>
          <w:sz w:val="24"/>
          <w:szCs w:val="24"/>
        </w:rPr>
        <w:t xml:space="preserve">a </w:t>
      </w:r>
      <w:r w:rsidRPr="00985FCF">
        <w:rPr>
          <w:rFonts w:ascii="Times New Roman" w:hAnsi="Times New Roman" w:cs="Times New Roman"/>
          <w:sz w:val="24"/>
          <w:szCs w:val="24"/>
        </w:rPr>
        <w:t xml:space="preserve">desafíos metodológicos significativos, caracterizados por dinámicas no lineales, múltiples factores interdependientes y la presencia de puntos de inflexión críticos que pueden comprometer irreversiblemente la resiliencia del ecosistema, </w:t>
      </w:r>
      <w:r w:rsidR="008030DE">
        <w:rPr>
          <w:rFonts w:ascii="Times New Roman" w:hAnsi="Times New Roman" w:cs="Times New Roman"/>
          <w:sz w:val="24"/>
          <w:szCs w:val="24"/>
        </w:rPr>
        <w:t>lo que requiere enfoques</w:t>
      </w:r>
      <w:r w:rsidR="008030DE" w:rsidRPr="00985FCF">
        <w:rPr>
          <w:rFonts w:ascii="Times New Roman" w:hAnsi="Times New Roman" w:cs="Times New Roman"/>
          <w:sz w:val="24"/>
          <w:szCs w:val="24"/>
        </w:rPr>
        <w:t xml:space="preserve"> </w:t>
      </w:r>
      <w:r w:rsidRPr="00985FCF">
        <w:rPr>
          <w:rFonts w:ascii="Times New Roman" w:hAnsi="Times New Roman" w:cs="Times New Roman"/>
          <w:sz w:val="24"/>
          <w:szCs w:val="24"/>
        </w:rPr>
        <w:t>por tanto enfoques innovadores que superen las limitaciones de las metodologías tradicionales (Urbina et al., 2024).</w:t>
      </w:r>
    </w:p>
    <w:p w14:paraId="5470B8D9" w14:textId="738EF070"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La evaluación convencional se </w:t>
      </w:r>
      <w:r w:rsidR="003E587F">
        <w:rPr>
          <w:rFonts w:ascii="Times New Roman" w:hAnsi="Times New Roman" w:cs="Times New Roman"/>
          <w:sz w:val="24"/>
          <w:szCs w:val="24"/>
        </w:rPr>
        <w:t>ha fundamentado históricamente</w:t>
      </w:r>
      <w:r w:rsidRPr="00985FCF">
        <w:rPr>
          <w:rFonts w:ascii="Times New Roman" w:hAnsi="Times New Roman" w:cs="Times New Roman"/>
          <w:sz w:val="24"/>
          <w:szCs w:val="24"/>
        </w:rPr>
        <w:t xml:space="preserve"> en indicadores que, </w:t>
      </w:r>
      <w:r w:rsidR="003E587F">
        <w:rPr>
          <w:rFonts w:ascii="Times New Roman" w:hAnsi="Times New Roman" w:cs="Times New Roman"/>
          <w:sz w:val="24"/>
          <w:szCs w:val="24"/>
        </w:rPr>
        <w:t>si bien son valiosos</w:t>
      </w:r>
      <w:r w:rsidRPr="00985FCF">
        <w:rPr>
          <w:rFonts w:ascii="Times New Roman" w:hAnsi="Times New Roman" w:cs="Times New Roman"/>
          <w:sz w:val="24"/>
          <w:szCs w:val="24"/>
        </w:rPr>
        <w:t xml:space="preserve"> para dimensiones específicas, </w:t>
      </w:r>
      <w:r w:rsidR="003E587F">
        <w:rPr>
          <w:rFonts w:ascii="Times New Roman" w:hAnsi="Times New Roman" w:cs="Times New Roman"/>
          <w:sz w:val="24"/>
          <w:szCs w:val="24"/>
        </w:rPr>
        <w:t>tienden a</w:t>
      </w:r>
      <w:r w:rsidR="003E587F" w:rsidRPr="00985FCF">
        <w:rPr>
          <w:rFonts w:ascii="Times New Roman" w:hAnsi="Times New Roman" w:cs="Times New Roman"/>
          <w:sz w:val="24"/>
          <w:szCs w:val="24"/>
        </w:rPr>
        <w:t xml:space="preserve"> </w:t>
      </w:r>
      <w:r w:rsidRPr="00985FCF">
        <w:rPr>
          <w:rFonts w:ascii="Times New Roman" w:hAnsi="Times New Roman" w:cs="Times New Roman"/>
          <w:sz w:val="24"/>
          <w:szCs w:val="24"/>
        </w:rPr>
        <w:t>capturar aspectos aislados de la sostenibilidad</w:t>
      </w:r>
      <w:r w:rsidR="003E587F">
        <w:rPr>
          <w:rFonts w:ascii="Times New Roman" w:hAnsi="Times New Roman" w:cs="Times New Roman"/>
          <w:sz w:val="24"/>
          <w:szCs w:val="24"/>
        </w:rPr>
        <w:t xml:space="preserve">, </w:t>
      </w:r>
      <w:r w:rsidR="00C75D26">
        <w:rPr>
          <w:rFonts w:ascii="Times New Roman" w:hAnsi="Times New Roman" w:cs="Times New Roman"/>
          <w:sz w:val="24"/>
          <w:szCs w:val="24"/>
        </w:rPr>
        <w:t>tales como</w:t>
      </w:r>
      <w:r w:rsidR="0057742B">
        <w:rPr>
          <w:rFonts w:ascii="Times New Roman" w:hAnsi="Times New Roman" w:cs="Times New Roman"/>
          <w:sz w:val="24"/>
          <w:szCs w:val="24"/>
        </w:rPr>
        <w:t xml:space="preserve"> </w:t>
      </w:r>
      <w:r w:rsidRPr="00985FCF">
        <w:rPr>
          <w:rFonts w:ascii="Times New Roman" w:hAnsi="Times New Roman" w:cs="Times New Roman"/>
          <w:sz w:val="24"/>
          <w:szCs w:val="24"/>
        </w:rPr>
        <w:t xml:space="preserve">la cobertura forestal, </w:t>
      </w:r>
      <w:r w:rsidR="00C75D26">
        <w:rPr>
          <w:rFonts w:ascii="Times New Roman" w:hAnsi="Times New Roman" w:cs="Times New Roman"/>
          <w:sz w:val="24"/>
          <w:szCs w:val="24"/>
        </w:rPr>
        <w:t xml:space="preserve">la </w:t>
      </w:r>
      <w:r w:rsidRPr="00985FCF">
        <w:rPr>
          <w:rFonts w:ascii="Times New Roman" w:hAnsi="Times New Roman" w:cs="Times New Roman"/>
          <w:sz w:val="24"/>
          <w:szCs w:val="24"/>
        </w:rPr>
        <w:t xml:space="preserve">productividad maderera o </w:t>
      </w:r>
      <w:r w:rsidR="00C75D26">
        <w:rPr>
          <w:rFonts w:ascii="Times New Roman" w:hAnsi="Times New Roman" w:cs="Times New Roman"/>
          <w:sz w:val="24"/>
          <w:szCs w:val="24"/>
        </w:rPr>
        <w:t xml:space="preserve">la </w:t>
      </w:r>
      <w:r w:rsidRPr="00985FCF">
        <w:rPr>
          <w:rFonts w:ascii="Times New Roman" w:hAnsi="Times New Roman" w:cs="Times New Roman"/>
          <w:sz w:val="24"/>
          <w:szCs w:val="24"/>
        </w:rPr>
        <w:t>rentabilidad financiera</w:t>
      </w:r>
      <w:r w:rsidR="00C75D26">
        <w:rPr>
          <w:rFonts w:ascii="Times New Roman" w:hAnsi="Times New Roman" w:cs="Times New Roman"/>
          <w:sz w:val="24"/>
          <w:szCs w:val="24"/>
        </w:rPr>
        <w:t xml:space="preserve">. Sin embargo, </w:t>
      </w:r>
      <w:r w:rsidR="00C75D26" w:rsidRPr="00985FCF">
        <w:rPr>
          <w:rFonts w:ascii="Times New Roman" w:hAnsi="Times New Roman" w:cs="Times New Roman"/>
          <w:sz w:val="24"/>
          <w:szCs w:val="24"/>
        </w:rPr>
        <w:t xml:space="preserve"> </w:t>
      </w:r>
      <w:r w:rsidR="00C75D26">
        <w:rPr>
          <w:rFonts w:ascii="Times New Roman" w:hAnsi="Times New Roman" w:cs="Times New Roman"/>
          <w:sz w:val="24"/>
          <w:szCs w:val="24"/>
        </w:rPr>
        <w:t>dichos indicadores carecen</w:t>
      </w:r>
      <w:r w:rsidRPr="00985FCF">
        <w:rPr>
          <w:rFonts w:ascii="Times New Roman" w:hAnsi="Times New Roman" w:cs="Times New Roman"/>
          <w:sz w:val="24"/>
          <w:szCs w:val="24"/>
        </w:rPr>
        <w:t xml:space="preserve"> de la capacidad para analizar integralmente las complejas </w:t>
      </w:r>
      <w:r w:rsidRPr="00985FCF">
        <w:rPr>
          <w:rFonts w:ascii="Times New Roman" w:hAnsi="Times New Roman" w:cs="Times New Roman"/>
          <w:sz w:val="24"/>
          <w:szCs w:val="24"/>
        </w:rPr>
        <w:lastRenderedPageBreak/>
        <w:t>interrelaciones y patrones temporales subyacentes al sistema (Zhai et al., 2025). Esta limitación metodológica dificulta la identificación proactiva de umbrales ecológicos críticos y la detección de disociaciones significativas entre la salud ecológica y los indicadores económicos, fenómenos que la investigación actual ha logrado identificar como determinantes para la gestión adaptativa de estos ecosistemas vulnerables ante presiones antrópicas y climáticas crecientes (Fu et al., 2025).</w:t>
      </w:r>
    </w:p>
    <w:p w14:paraId="03704489" w14:textId="6B4D94BA"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En este contexto, la inteligencia artificial emerge como una herramienta transformadora con potencial demostrado para procesar grandes volúmenes de datos heterogéneos —integrando registros operativos institucionales, imágenes de sensores remotos y mediciones in situ— y descubrir patrones complejos que escapan a los análisis estadísticos convencionales (Bin, 2025). Específicamente, el modelo DeepSeek-V3 representa un avance significativo en este campo, al incorporar mecanismos de atención eficiente diseñados para optimizar el procesamiento de contextos extensos y series temporales complejas, demostrando rendimiento competitivo en benchmarks exigentes de razonamiento y resolución de problemas multivariados (Deng et al., 2025).</w:t>
      </w:r>
    </w:p>
    <w:p w14:paraId="0501FE3C" w14:textId="090789FD"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La </w:t>
      </w:r>
      <w:r w:rsidR="00C75D26">
        <w:rPr>
          <w:rFonts w:ascii="Times New Roman" w:hAnsi="Times New Roman" w:cs="Times New Roman"/>
          <w:sz w:val="24"/>
          <w:szCs w:val="24"/>
        </w:rPr>
        <w:t>implementación</w:t>
      </w:r>
      <w:r w:rsidR="00C75D2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de modelos de </w:t>
      </w:r>
      <w:r w:rsidR="00C75D26">
        <w:rPr>
          <w:rFonts w:ascii="Times New Roman" w:hAnsi="Times New Roman" w:cs="Times New Roman"/>
          <w:sz w:val="24"/>
          <w:szCs w:val="24"/>
        </w:rPr>
        <w:t>inteligencia artificial (</w:t>
      </w:r>
      <w:r w:rsidRPr="00985FCF">
        <w:rPr>
          <w:rFonts w:ascii="Times New Roman" w:hAnsi="Times New Roman" w:cs="Times New Roman"/>
          <w:sz w:val="24"/>
          <w:szCs w:val="24"/>
        </w:rPr>
        <w:t>IA</w:t>
      </w:r>
      <w:r w:rsidR="00C75D26">
        <w:rPr>
          <w:rFonts w:ascii="Times New Roman" w:hAnsi="Times New Roman" w:cs="Times New Roman"/>
          <w:sz w:val="24"/>
          <w:szCs w:val="24"/>
        </w:rPr>
        <w:t>), tales</w:t>
      </w:r>
      <w:r w:rsidRPr="00985FCF">
        <w:rPr>
          <w:rFonts w:ascii="Times New Roman" w:hAnsi="Times New Roman" w:cs="Times New Roman"/>
          <w:sz w:val="24"/>
          <w:szCs w:val="24"/>
        </w:rPr>
        <w:t xml:space="preserve"> como DeepSeek-V3</w:t>
      </w:r>
      <w:r w:rsidR="00C75D26">
        <w:rPr>
          <w:rFonts w:ascii="Times New Roman" w:hAnsi="Times New Roman" w:cs="Times New Roman"/>
          <w:sz w:val="24"/>
          <w:szCs w:val="24"/>
        </w:rPr>
        <w:t>,</w:t>
      </w:r>
      <w:r w:rsidRPr="00985FCF">
        <w:rPr>
          <w:rFonts w:ascii="Times New Roman" w:hAnsi="Times New Roman" w:cs="Times New Roman"/>
          <w:sz w:val="24"/>
          <w:szCs w:val="24"/>
        </w:rPr>
        <w:t xml:space="preserve">en </w:t>
      </w:r>
      <w:r w:rsidR="00C75D26">
        <w:rPr>
          <w:rFonts w:ascii="Times New Roman" w:hAnsi="Times New Roman" w:cs="Times New Roman"/>
          <w:sz w:val="24"/>
          <w:szCs w:val="24"/>
        </w:rPr>
        <w:t>el ámbito de</w:t>
      </w:r>
      <w:r w:rsidRPr="00985FCF">
        <w:rPr>
          <w:rFonts w:ascii="Times New Roman" w:hAnsi="Times New Roman" w:cs="Times New Roman"/>
          <w:sz w:val="24"/>
          <w:szCs w:val="24"/>
        </w:rPr>
        <w:t xml:space="preserve"> forestal </w:t>
      </w:r>
      <w:r w:rsidR="00C75D26">
        <w:rPr>
          <w:rFonts w:ascii="Times New Roman" w:hAnsi="Times New Roman" w:cs="Times New Roman"/>
          <w:sz w:val="24"/>
          <w:szCs w:val="24"/>
        </w:rPr>
        <w:t>representa</w:t>
      </w:r>
      <w:r w:rsidR="00C75D2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un </w:t>
      </w:r>
      <w:r w:rsidR="00C75D26">
        <w:rPr>
          <w:rFonts w:ascii="Times New Roman" w:hAnsi="Times New Roman" w:cs="Times New Roman"/>
          <w:sz w:val="24"/>
          <w:szCs w:val="24"/>
        </w:rPr>
        <w:t>área de investigación emergente</w:t>
      </w:r>
      <w:r w:rsidRPr="00985FCF">
        <w:rPr>
          <w:rFonts w:ascii="Times New Roman" w:hAnsi="Times New Roman" w:cs="Times New Roman"/>
          <w:sz w:val="24"/>
          <w:szCs w:val="24"/>
        </w:rPr>
        <w:t xml:space="preserve"> pero </w:t>
      </w:r>
      <w:r w:rsidR="00C75D26">
        <w:rPr>
          <w:rFonts w:ascii="Times New Roman" w:hAnsi="Times New Roman" w:cs="Times New Roman"/>
          <w:sz w:val="24"/>
          <w:szCs w:val="24"/>
        </w:rPr>
        <w:t>con un potencial significativo. Este campo se distingue</w:t>
      </w:r>
      <w:r w:rsidRPr="00985FCF">
        <w:rPr>
          <w:rFonts w:ascii="Times New Roman" w:hAnsi="Times New Roman" w:cs="Times New Roman"/>
          <w:sz w:val="24"/>
          <w:szCs w:val="24"/>
        </w:rPr>
        <w:t xml:space="preserve"> por su </w:t>
      </w:r>
      <w:r w:rsidR="00C75D26">
        <w:rPr>
          <w:rFonts w:ascii="Times New Roman" w:hAnsi="Times New Roman" w:cs="Times New Roman"/>
          <w:sz w:val="24"/>
          <w:szCs w:val="24"/>
        </w:rPr>
        <w:t>notable</w:t>
      </w:r>
      <w:r w:rsidR="00C75D2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eficiencia en el aprendizaje y </w:t>
      </w:r>
      <w:r w:rsidR="00C75D26">
        <w:rPr>
          <w:rFonts w:ascii="Times New Roman" w:hAnsi="Times New Roman" w:cs="Times New Roman"/>
          <w:sz w:val="24"/>
          <w:szCs w:val="24"/>
        </w:rPr>
        <w:t xml:space="preserve">su </w:t>
      </w:r>
      <w:r w:rsidRPr="00985FCF">
        <w:rPr>
          <w:rFonts w:ascii="Times New Roman" w:hAnsi="Times New Roman" w:cs="Times New Roman"/>
          <w:sz w:val="24"/>
          <w:szCs w:val="24"/>
        </w:rPr>
        <w:t xml:space="preserve">capacidad para operar con costos computacionales </w:t>
      </w:r>
      <w:r w:rsidR="00C75D26">
        <w:rPr>
          <w:rFonts w:ascii="Times New Roman" w:hAnsi="Times New Roman" w:cs="Times New Roman"/>
          <w:sz w:val="24"/>
          <w:szCs w:val="24"/>
        </w:rPr>
        <w:t xml:space="preserve">notablemente inferiores a los de </w:t>
      </w:r>
      <w:r w:rsidRPr="00985FCF">
        <w:rPr>
          <w:rFonts w:ascii="Times New Roman" w:hAnsi="Times New Roman" w:cs="Times New Roman"/>
          <w:sz w:val="24"/>
          <w:szCs w:val="24"/>
        </w:rPr>
        <w:t xml:space="preserve"> modelos </w:t>
      </w:r>
      <w:r w:rsidR="00C75D26">
        <w:rPr>
          <w:rFonts w:ascii="Times New Roman" w:hAnsi="Times New Roman" w:cs="Times New Roman"/>
          <w:sz w:val="24"/>
          <w:szCs w:val="24"/>
        </w:rPr>
        <w:t>convencionales. Esta característica</w:t>
      </w:r>
      <w:r w:rsidRPr="00985FCF">
        <w:rPr>
          <w:rFonts w:ascii="Times New Roman" w:hAnsi="Times New Roman" w:cs="Times New Roman"/>
          <w:sz w:val="24"/>
          <w:szCs w:val="24"/>
        </w:rPr>
        <w:t xml:space="preserve"> lo </w:t>
      </w:r>
      <w:r w:rsidR="00C75D26">
        <w:rPr>
          <w:rFonts w:ascii="Times New Roman" w:hAnsi="Times New Roman" w:cs="Times New Roman"/>
          <w:sz w:val="24"/>
          <w:szCs w:val="24"/>
        </w:rPr>
        <w:t>convierte en una herramienta</w:t>
      </w:r>
      <w:r w:rsidRPr="00985FCF">
        <w:rPr>
          <w:rFonts w:ascii="Times New Roman" w:hAnsi="Times New Roman" w:cs="Times New Roman"/>
          <w:sz w:val="24"/>
          <w:szCs w:val="24"/>
        </w:rPr>
        <w:t xml:space="preserve"> particularmente </w:t>
      </w:r>
      <w:r w:rsidR="00C75D26" w:rsidRPr="00985FCF">
        <w:rPr>
          <w:rFonts w:ascii="Times New Roman" w:hAnsi="Times New Roman" w:cs="Times New Roman"/>
          <w:sz w:val="24"/>
          <w:szCs w:val="24"/>
        </w:rPr>
        <w:t>adecuad</w:t>
      </w:r>
      <w:r w:rsidR="00C75D26">
        <w:rPr>
          <w:rFonts w:ascii="Times New Roman" w:hAnsi="Times New Roman" w:cs="Times New Roman"/>
          <w:sz w:val="24"/>
          <w:szCs w:val="24"/>
        </w:rPr>
        <w:t>a</w:t>
      </w:r>
      <w:r w:rsidR="00C75D2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para </w:t>
      </w:r>
      <w:r w:rsidR="00C75D26">
        <w:rPr>
          <w:rFonts w:ascii="Times New Roman" w:hAnsi="Times New Roman" w:cs="Times New Roman"/>
          <w:sz w:val="24"/>
          <w:szCs w:val="24"/>
        </w:rPr>
        <w:t>la resolución de</w:t>
      </w:r>
      <w:r w:rsidR="00C75D2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problemas complejos en contextos </w:t>
      </w:r>
      <w:r w:rsidR="00C75D26">
        <w:rPr>
          <w:rFonts w:ascii="Times New Roman" w:hAnsi="Times New Roman" w:cs="Times New Roman"/>
          <w:sz w:val="24"/>
          <w:szCs w:val="24"/>
        </w:rPr>
        <w:t>donde los</w:t>
      </w:r>
      <w:r w:rsidR="00C75D2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recursos </w:t>
      </w:r>
      <w:r w:rsidR="00C75D26">
        <w:rPr>
          <w:rFonts w:ascii="Times New Roman" w:hAnsi="Times New Roman" w:cs="Times New Roman"/>
          <w:sz w:val="24"/>
          <w:szCs w:val="24"/>
        </w:rPr>
        <w:t xml:space="preserve">son </w:t>
      </w:r>
      <w:r w:rsidRPr="00985FCF">
        <w:rPr>
          <w:rFonts w:ascii="Times New Roman" w:hAnsi="Times New Roman" w:cs="Times New Roman"/>
          <w:sz w:val="24"/>
          <w:szCs w:val="24"/>
        </w:rPr>
        <w:t xml:space="preserve">limitados. </w:t>
      </w:r>
      <w:r w:rsidR="00A3405E">
        <w:rPr>
          <w:rFonts w:ascii="Times New Roman" w:hAnsi="Times New Roman" w:cs="Times New Roman"/>
          <w:sz w:val="24"/>
          <w:szCs w:val="24"/>
        </w:rPr>
        <w:t xml:space="preserve">La capacidad de identificar </w:t>
      </w:r>
      <w:r w:rsidRPr="00985FCF">
        <w:rPr>
          <w:rFonts w:ascii="Times New Roman" w:hAnsi="Times New Roman" w:cs="Times New Roman"/>
          <w:sz w:val="24"/>
          <w:szCs w:val="24"/>
        </w:rPr>
        <w:t xml:space="preserve"> identificar relaciones no lineales y puntos de </w:t>
      </w:r>
      <w:r w:rsidR="00A3405E">
        <w:rPr>
          <w:rFonts w:ascii="Times New Roman" w:hAnsi="Times New Roman" w:cs="Times New Roman"/>
          <w:sz w:val="24"/>
          <w:szCs w:val="24"/>
        </w:rPr>
        <w:t>inflexión</w:t>
      </w:r>
      <w:r w:rsidR="00A3405E"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resulta </w:t>
      </w:r>
      <w:r w:rsidR="00A3405E">
        <w:rPr>
          <w:rFonts w:ascii="Times New Roman" w:hAnsi="Times New Roman" w:cs="Times New Roman"/>
          <w:sz w:val="24"/>
          <w:szCs w:val="24"/>
        </w:rPr>
        <w:t>imperativa</w:t>
      </w:r>
      <w:r w:rsidR="00A3405E"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para </w:t>
      </w:r>
      <w:r w:rsidR="00A3405E">
        <w:rPr>
          <w:rFonts w:ascii="Times New Roman" w:hAnsi="Times New Roman" w:cs="Times New Roman"/>
          <w:sz w:val="24"/>
          <w:szCs w:val="24"/>
        </w:rPr>
        <w:t>desentrañar</w:t>
      </w:r>
      <w:r w:rsidR="00A3405E"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la dinámica socioecológica de los bosques tropicales, </w:t>
      </w:r>
      <w:r w:rsidR="00A3405E">
        <w:rPr>
          <w:rFonts w:ascii="Times New Roman" w:hAnsi="Times New Roman" w:cs="Times New Roman"/>
          <w:sz w:val="24"/>
          <w:szCs w:val="24"/>
        </w:rPr>
        <w:t>posibilitando</w:t>
      </w:r>
      <w:r w:rsidR="00A3405E" w:rsidRPr="00985FCF">
        <w:rPr>
          <w:rFonts w:ascii="Times New Roman" w:hAnsi="Times New Roman" w:cs="Times New Roman"/>
          <w:sz w:val="24"/>
          <w:szCs w:val="24"/>
        </w:rPr>
        <w:t xml:space="preserve"> </w:t>
      </w:r>
      <w:r w:rsidRPr="00985FCF">
        <w:rPr>
          <w:rFonts w:ascii="Times New Roman" w:hAnsi="Times New Roman" w:cs="Times New Roman"/>
          <w:sz w:val="24"/>
          <w:szCs w:val="24"/>
        </w:rPr>
        <w:t>una transición desde enfoques reactivos hacia sistemas predictivos y adaptativos de gestión forestal (Guo, 2025).</w:t>
      </w:r>
    </w:p>
    <w:p w14:paraId="3882FBB2" w14:textId="1DE594F3" w:rsidR="00985FCF" w:rsidRPr="00985FCF" w:rsidRDefault="00822079" w:rsidP="00F518F0">
      <w:pPr>
        <w:spacing w:after="120" w:line="360" w:lineRule="auto"/>
        <w:jc w:val="both"/>
        <w:rPr>
          <w:rFonts w:ascii="Times New Roman" w:hAnsi="Times New Roman" w:cs="Times New Roman"/>
          <w:sz w:val="24"/>
          <w:szCs w:val="24"/>
        </w:rPr>
      </w:pPr>
      <w:r w:rsidRPr="00822079">
        <w:rPr>
          <w:rFonts w:ascii="Times New Roman" w:hAnsi="Times New Roman" w:cs="Times New Roman"/>
          <w:sz w:val="24"/>
          <w:szCs w:val="24"/>
        </w:rPr>
        <w:t>El propósito de este</w:t>
      </w:r>
      <w:r w:rsidR="00985FCF" w:rsidRPr="00985FCF">
        <w:rPr>
          <w:rFonts w:ascii="Times New Roman" w:hAnsi="Times New Roman" w:cs="Times New Roman"/>
          <w:sz w:val="24"/>
          <w:szCs w:val="24"/>
        </w:rPr>
        <w:t xml:space="preserve"> estudio </w:t>
      </w:r>
      <w:r w:rsidR="00D42744" w:rsidRPr="00D42744">
        <w:rPr>
          <w:rFonts w:ascii="Times New Roman" w:hAnsi="Times New Roman" w:cs="Times New Roman"/>
          <w:sz w:val="24"/>
          <w:szCs w:val="24"/>
        </w:rPr>
        <w:t>es examinar</w:t>
      </w:r>
      <w:r w:rsidR="00985FCF" w:rsidRPr="00985FCF">
        <w:rPr>
          <w:rFonts w:ascii="Times New Roman" w:hAnsi="Times New Roman" w:cs="Times New Roman"/>
          <w:sz w:val="24"/>
          <w:szCs w:val="24"/>
        </w:rPr>
        <w:t xml:space="preserve"> </w:t>
      </w:r>
      <w:r w:rsidR="00D42744">
        <w:rPr>
          <w:rFonts w:ascii="Times New Roman" w:hAnsi="Times New Roman" w:cs="Times New Roman"/>
          <w:sz w:val="24"/>
          <w:szCs w:val="24"/>
        </w:rPr>
        <w:t xml:space="preserve">los </w:t>
      </w:r>
      <w:r w:rsidR="00985FCF" w:rsidRPr="00985FCF">
        <w:rPr>
          <w:rFonts w:ascii="Times New Roman" w:hAnsi="Times New Roman" w:cs="Times New Roman"/>
          <w:sz w:val="24"/>
          <w:szCs w:val="24"/>
        </w:rPr>
        <w:t xml:space="preserve">puntos de inflexión en la sostenibilidad forestal de la UEB Silvícola Guisa (Cuba) durante el período </w:t>
      </w:r>
      <w:r w:rsidR="00D42744" w:rsidRPr="00D42744">
        <w:rPr>
          <w:rFonts w:ascii="Times New Roman" w:hAnsi="Times New Roman" w:cs="Times New Roman"/>
          <w:sz w:val="24"/>
          <w:szCs w:val="24"/>
        </w:rPr>
        <w:t>comprendido entre los años 2013 y 2024. Para ello, se ha empleado</w:t>
      </w:r>
      <w:r w:rsidR="00985FCF" w:rsidRPr="00985FCF">
        <w:rPr>
          <w:rFonts w:ascii="Times New Roman" w:hAnsi="Times New Roman" w:cs="Times New Roman"/>
          <w:sz w:val="24"/>
          <w:szCs w:val="24"/>
        </w:rPr>
        <w:t xml:space="preserve"> </w:t>
      </w:r>
      <w:r w:rsidR="00D42744">
        <w:rPr>
          <w:rFonts w:ascii="Times New Roman" w:hAnsi="Times New Roman" w:cs="Times New Roman"/>
          <w:sz w:val="24"/>
          <w:szCs w:val="24"/>
        </w:rPr>
        <w:t xml:space="preserve">el </w:t>
      </w:r>
      <w:r w:rsidR="00985FCF" w:rsidRPr="00985FCF">
        <w:rPr>
          <w:rFonts w:ascii="Times New Roman" w:hAnsi="Times New Roman" w:cs="Times New Roman"/>
          <w:sz w:val="24"/>
          <w:szCs w:val="24"/>
        </w:rPr>
        <w:t>modelo DeepSeek-V3 como herramienta analítica central</w:t>
      </w:r>
      <w:r w:rsidR="00D42744">
        <w:rPr>
          <w:rFonts w:ascii="Times New Roman" w:hAnsi="Times New Roman" w:cs="Times New Roman"/>
          <w:sz w:val="24"/>
          <w:szCs w:val="24"/>
        </w:rPr>
        <w:t>, con el objetivo de</w:t>
      </w:r>
      <w:r w:rsidR="00985FCF" w:rsidRPr="00985FCF">
        <w:rPr>
          <w:rFonts w:ascii="Times New Roman" w:hAnsi="Times New Roman" w:cs="Times New Roman"/>
          <w:sz w:val="24"/>
          <w:szCs w:val="24"/>
        </w:rPr>
        <w:t xml:space="preserve">superar las limitaciones </w:t>
      </w:r>
      <w:r w:rsidR="00D42744">
        <w:rPr>
          <w:rFonts w:ascii="Times New Roman" w:hAnsi="Times New Roman" w:cs="Times New Roman"/>
          <w:sz w:val="24"/>
          <w:szCs w:val="24"/>
        </w:rPr>
        <w:t>inherentes a</w:t>
      </w:r>
      <w:r w:rsidR="00D42744" w:rsidRPr="00985FCF">
        <w:rPr>
          <w:rFonts w:ascii="Times New Roman" w:hAnsi="Times New Roman" w:cs="Times New Roman"/>
          <w:sz w:val="24"/>
          <w:szCs w:val="24"/>
        </w:rPr>
        <w:t xml:space="preserve"> </w:t>
      </w:r>
      <w:r w:rsidR="00985FCF" w:rsidRPr="00985FCF">
        <w:rPr>
          <w:rFonts w:ascii="Times New Roman" w:hAnsi="Times New Roman" w:cs="Times New Roman"/>
          <w:sz w:val="24"/>
          <w:szCs w:val="24"/>
        </w:rPr>
        <w:t>los enfoques tradicionales</w:t>
      </w:r>
      <w:r w:rsidR="00D42744">
        <w:rPr>
          <w:rFonts w:ascii="Times New Roman" w:hAnsi="Times New Roman" w:cs="Times New Roman"/>
          <w:sz w:val="24"/>
          <w:szCs w:val="24"/>
        </w:rPr>
        <w:t>. El</w:t>
      </w:r>
      <w:r w:rsidR="00985FCF" w:rsidRPr="00985FCF">
        <w:rPr>
          <w:rFonts w:ascii="Times New Roman" w:hAnsi="Times New Roman" w:cs="Times New Roman"/>
          <w:sz w:val="24"/>
          <w:szCs w:val="24"/>
        </w:rPr>
        <w:t xml:space="preserve"> proceso sistemático </w:t>
      </w:r>
      <w:r w:rsidR="00D42744" w:rsidRPr="00D42744">
        <w:rPr>
          <w:rFonts w:ascii="Times New Roman" w:hAnsi="Times New Roman" w:cs="Times New Roman"/>
          <w:sz w:val="24"/>
          <w:szCs w:val="24"/>
        </w:rPr>
        <w:t>empleado se ha dividido en</w:t>
      </w:r>
      <w:r w:rsidR="00985FCF" w:rsidRPr="00985FCF">
        <w:rPr>
          <w:rFonts w:ascii="Times New Roman" w:hAnsi="Times New Roman" w:cs="Times New Roman"/>
          <w:sz w:val="24"/>
          <w:szCs w:val="24"/>
        </w:rPr>
        <w:t xml:space="preserve"> cuatro etapas que integra</w:t>
      </w:r>
      <w:r w:rsidR="00D42744">
        <w:rPr>
          <w:rFonts w:ascii="Times New Roman" w:hAnsi="Times New Roman" w:cs="Times New Roman"/>
          <w:sz w:val="24"/>
          <w:szCs w:val="24"/>
        </w:rPr>
        <w:t>n la</w:t>
      </w:r>
      <w:r w:rsidR="00985FCF" w:rsidRPr="00985FCF">
        <w:rPr>
          <w:rFonts w:ascii="Times New Roman" w:hAnsi="Times New Roman" w:cs="Times New Roman"/>
          <w:sz w:val="24"/>
          <w:szCs w:val="24"/>
        </w:rPr>
        <w:t xml:space="preserve"> selección, validación y análisis integral de indicadores. Los objetivos específicos comprenden </w:t>
      </w:r>
      <w:r w:rsidR="00D42744">
        <w:rPr>
          <w:rFonts w:ascii="Times New Roman" w:hAnsi="Times New Roman" w:cs="Times New Roman"/>
          <w:sz w:val="24"/>
          <w:szCs w:val="24"/>
        </w:rPr>
        <w:t>la caracterización de</w:t>
      </w:r>
      <w:r w:rsidR="00D42744" w:rsidRPr="00985FCF">
        <w:rPr>
          <w:rFonts w:ascii="Times New Roman" w:hAnsi="Times New Roman" w:cs="Times New Roman"/>
          <w:sz w:val="24"/>
          <w:szCs w:val="24"/>
        </w:rPr>
        <w:t xml:space="preserve"> </w:t>
      </w:r>
      <w:r w:rsidR="00985FCF" w:rsidRPr="00985FCF">
        <w:rPr>
          <w:rFonts w:ascii="Times New Roman" w:hAnsi="Times New Roman" w:cs="Times New Roman"/>
          <w:sz w:val="24"/>
          <w:szCs w:val="24"/>
        </w:rPr>
        <w:t>la evolución temporal de indicadores clave de sostenibilidad ambiental y productividad,</w:t>
      </w:r>
      <w:r w:rsidR="00D42744">
        <w:rPr>
          <w:rFonts w:ascii="Times New Roman" w:hAnsi="Times New Roman" w:cs="Times New Roman"/>
          <w:sz w:val="24"/>
          <w:szCs w:val="24"/>
        </w:rPr>
        <w:t xml:space="preserve"> la</w:t>
      </w:r>
      <w:r w:rsidR="00985FCF" w:rsidRPr="00985FCF">
        <w:rPr>
          <w:rFonts w:ascii="Times New Roman" w:hAnsi="Times New Roman" w:cs="Times New Roman"/>
          <w:sz w:val="24"/>
          <w:szCs w:val="24"/>
        </w:rPr>
        <w:t xml:space="preserve"> </w:t>
      </w:r>
      <w:r w:rsidR="00D42744" w:rsidRPr="00985FCF">
        <w:rPr>
          <w:rFonts w:ascii="Times New Roman" w:hAnsi="Times New Roman" w:cs="Times New Roman"/>
          <w:sz w:val="24"/>
          <w:szCs w:val="24"/>
        </w:rPr>
        <w:t>identifica</w:t>
      </w:r>
      <w:r w:rsidR="00D42744">
        <w:rPr>
          <w:rFonts w:ascii="Times New Roman" w:hAnsi="Times New Roman" w:cs="Times New Roman"/>
          <w:sz w:val="24"/>
          <w:szCs w:val="24"/>
        </w:rPr>
        <w:t>ción</w:t>
      </w:r>
      <w:r w:rsidR="00D42744" w:rsidRPr="00985FCF">
        <w:rPr>
          <w:rFonts w:ascii="Times New Roman" w:hAnsi="Times New Roman" w:cs="Times New Roman"/>
          <w:sz w:val="24"/>
          <w:szCs w:val="24"/>
        </w:rPr>
        <w:t xml:space="preserve"> </w:t>
      </w:r>
      <w:r w:rsidR="00D42744">
        <w:rPr>
          <w:rFonts w:ascii="Times New Roman" w:hAnsi="Times New Roman" w:cs="Times New Roman"/>
          <w:sz w:val="24"/>
          <w:szCs w:val="24"/>
        </w:rPr>
        <w:t xml:space="preserve">y validación </w:t>
      </w:r>
      <w:r w:rsidR="00D42744">
        <w:rPr>
          <w:rFonts w:ascii="Times New Roman" w:hAnsi="Times New Roman" w:cs="Times New Roman"/>
          <w:sz w:val="24"/>
          <w:szCs w:val="24"/>
        </w:rPr>
        <w:lastRenderedPageBreak/>
        <w:t>estadística de</w:t>
      </w:r>
      <w:r w:rsidR="00985FCF" w:rsidRPr="00985FCF">
        <w:rPr>
          <w:rFonts w:ascii="Times New Roman" w:hAnsi="Times New Roman" w:cs="Times New Roman"/>
          <w:sz w:val="24"/>
          <w:szCs w:val="24"/>
        </w:rPr>
        <w:t xml:space="preserve"> puntos de inflexión críticos en el sistema socioecológico, y </w:t>
      </w:r>
      <w:r w:rsidR="00D42744">
        <w:rPr>
          <w:rFonts w:ascii="Times New Roman" w:hAnsi="Times New Roman" w:cs="Times New Roman"/>
          <w:sz w:val="24"/>
          <w:szCs w:val="24"/>
        </w:rPr>
        <w:t>el diagnóstico de</w:t>
      </w:r>
      <w:r w:rsidR="00D42744" w:rsidRPr="00985FCF">
        <w:rPr>
          <w:rFonts w:ascii="Times New Roman" w:hAnsi="Times New Roman" w:cs="Times New Roman"/>
          <w:sz w:val="24"/>
          <w:szCs w:val="24"/>
        </w:rPr>
        <w:t xml:space="preserve"> </w:t>
      </w:r>
      <w:r w:rsidR="00985FCF" w:rsidRPr="00985FCF">
        <w:rPr>
          <w:rFonts w:ascii="Times New Roman" w:hAnsi="Times New Roman" w:cs="Times New Roman"/>
          <w:sz w:val="24"/>
          <w:szCs w:val="24"/>
        </w:rPr>
        <w:t>las disociaciones sistémicas entre las dimensiones ecológicas y económicas de la sostenibilidad.</w:t>
      </w:r>
    </w:p>
    <w:p w14:paraId="13FEA279" w14:textId="07FC78DD"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La investigación </w:t>
      </w:r>
      <w:r w:rsidR="00D42744" w:rsidRPr="00D42744">
        <w:rPr>
          <w:rFonts w:ascii="Times New Roman" w:hAnsi="Times New Roman" w:cs="Times New Roman"/>
          <w:sz w:val="24"/>
          <w:szCs w:val="24"/>
        </w:rPr>
        <w:t>proporciona un enfoque</w:t>
      </w:r>
      <w:r w:rsidRPr="00985FCF">
        <w:rPr>
          <w:rFonts w:ascii="Times New Roman" w:hAnsi="Times New Roman" w:cs="Times New Roman"/>
          <w:sz w:val="24"/>
          <w:szCs w:val="24"/>
        </w:rPr>
        <w:t xml:space="preserve"> metodológico </w:t>
      </w:r>
      <w:r w:rsidR="00D42744" w:rsidRPr="00D42744">
        <w:rPr>
          <w:rFonts w:ascii="Times New Roman" w:hAnsi="Times New Roman" w:cs="Times New Roman"/>
          <w:sz w:val="24"/>
          <w:szCs w:val="24"/>
        </w:rPr>
        <w:t>innovador que integra</w:t>
      </w:r>
      <w:r w:rsidRPr="00985FCF">
        <w:rPr>
          <w:rFonts w:ascii="Times New Roman" w:hAnsi="Times New Roman" w:cs="Times New Roman"/>
          <w:sz w:val="24"/>
          <w:szCs w:val="24"/>
        </w:rPr>
        <w:t xml:space="preserve"> la potencia analítica de un modelo de </w:t>
      </w:r>
      <w:r w:rsidR="00D42744" w:rsidRPr="00D42744">
        <w:rPr>
          <w:rFonts w:ascii="Times New Roman" w:hAnsi="Times New Roman" w:cs="Times New Roman"/>
          <w:sz w:val="24"/>
          <w:szCs w:val="24"/>
        </w:rPr>
        <w:t>inteligencia artificial (IA) de vanguardia con datos multidisciplinares provenientes de diversas fuentes, ofreciendo una base empírica sólida para la gestión adaptativa y la toma de decisiones informadas en ecosistemas forestales tropicales</w:t>
      </w:r>
      <w:r w:rsidRPr="00985FCF">
        <w:rPr>
          <w:rFonts w:ascii="Times New Roman" w:hAnsi="Times New Roman" w:cs="Times New Roman"/>
          <w:sz w:val="24"/>
          <w:szCs w:val="24"/>
        </w:rPr>
        <w:t>. Este enfoque integrador permite no solo comprender las trayectorias históricas de los indicadores de sostenibilidad, sino también establecer sistemas de alerta temprana capaces de anticipar transiciones críticas en la resiliencia de estos valiosos ecosistemas.</w:t>
      </w:r>
    </w:p>
    <w:p w14:paraId="2AABC863" w14:textId="7280C177" w:rsidR="00985FCF" w:rsidRPr="00985FCF" w:rsidRDefault="00985FCF" w:rsidP="00F518F0">
      <w:pPr>
        <w:spacing w:after="120" w:line="360" w:lineRule="auto"/>
        <w:jc w:val="both"/>
        <w:rPr>
          <w:rFonts w:ascii="Times New Roman" w:hAnsi="Times New Roman" w:cs="Times New Roman"/>
          <w:b/>
          <w:bCs/>
          <w:sz w:val="24"/>
          <w:szCs w:val="24"/>
        </w:rPr>
      </w:pPr>
      <w:r w:rsidRPr="00985FCF">
        <w:rPr>
          <w:rFonts w:ascii="Times New Roman" w:hAnsi="Times New Roman" w:cs="Times New Roman"/>
          <w:b/>
          <w:bCs/>
          <w:sz w:val="24"/>
          <w:szCs w:val="24"/>
        </w:rPr>
        <w:t>M</w:t>
      </w:r>
      <w:r w:rsidR="00AB18B8" w:rsidRPr="00985FCF">
        <w:rPr>
          <w:rFonts w:ascii="Times New Roman" w:hAnsi="Times New Roman" w:cs="Times New Roman"/>
          <w:b/>
          <w:bCs/>
          <w:sz w:val="24"/>
          <w:szCs w:val="24"/>
        </w:rPr>
        <w:t>ateriales y métodos</w:t>
      </w:r>
    </w:p>
    <w:p w14:paraId="1B333BEF" w14:textId="77777777"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El presente estudio empleó un diseño metodológico mixto (cualitativo-cuantitativo) de carácter longitudinal orientado a evaluar integralmente los indicadores de sostenibilidad ambiental y productividad forestal en la UEB Silvícola Guisa, perteneciente a la Empresa Agroforestal Granma, durante el período 2013-2024.</w:t>
      </w:r>
    </w:p>
    <w:p w14:paraId="178EFB9F" w14:textId="10936C39" w:rsidR="00985FCF" w:rsidRPr="00985FCF" w:rsidRDefault="00380EF9" w:rsidP="00F518F0">
      <w:pPr>
        <w:spacing w:after="120" w:line="360" w:lineRule="auto"/>
        <w:jc w:val="both"/>
        <w:rPr>
          <w:rFonts w:ascii="Times New Roman" w:hAnsi="Times New Roman" w:cs="Times New Roman"/>
          <w:sz w:val="24"/>
          <w:szCs w:val="24"/>
        </w:rPr>
      </w:pPr>
      <w:r w:rsidRPr="00380EF9">
        <w:rPr>
          <w:rFonts w:ascii="Times New Roman" w:hAnsi="Times New Roman" w:cs="Times New Roman"/>
          <w:sz w:val="24"/>
          <w:szCs w:val="24"/>
        </w:rPr>
        <w:t>La metodología implementada en este estudio</w:t>
      </w:r>
      <w:r w:rsidR="00985FCF" w:rsidRPr="00985FCF">
        <w:rPr>
          <w:rFonts w:ascii="Times New Roman" w:hAnsi="Times New Roman" w:cs="Times New Roman"/>
          <w:sz w:val="24"/>
          <w:szCs w:val="24"/>
        </w:rPr>
        <w:t xml:space="preserve"> permitió no s</w:t>
      </w:r>
      <w:r>
        <w:rPr>
          <w:rFonts w:ascii="Times New Roman" w:hAnsi="Times New Roman" w:cs="Times New Roman"/>
          <w:sz w:val="24"/>
          <w:szCs w:val="24"/>
        </w:rPr>
        <w:t>o</w:t>
      </w:r>
      <w:r w:rsidR="00985FCF" w:rsidRPr="00985FCF">
        <w:rPr>
          <w:rFonts w:ascii="Times New Roman" w:hAnsi="Times New Roman" w:cs="Times New Roman"/>
          <w:sz w:val="24"/>
          <w:szCs w:val="24"/>
        </w:rPr>
        <w:t>lo caracterizar la evolución histórica de los indicadores</w:t>
      </w:r>
      <w:r>
        <w:rPr>
          <w:rFonts w:ascii="Times New Roman" w:hAnsi="Times New Roman" w:cs="Times New Roman"/>
          <w:sz w:val="24"/>
          <w:szCs w:val="24"/>
        </w:rPr>
        <w:t>,</w:t>
      </w:r>
      <w:r w:rsidR="00985FCF" w:rsidRPr="00985FCF">
        <w:rPr>
          <w:rFonts w:ascii="Times New Roman" w:hAnsi="Times New Roman" w:cs="Times New Roman"/>
          <w:sz w:val="24"/>
          <w:szCs w:val="24"/>
        </w:rPr>
        <w:t xml:space="preserve"> sino también identificar puntos de inflexión, relaciones críticas y escenarios futuros</w:t>
      </w:r>
      <w:r w:rsidR="00AF7482">
        <w:rPr>
          <w:rFonts w:ascii="Times New Roman" w:hAnsi="Times New Roman" w:cs="Times New Roman"/>
          <w:sz w:val="24"/>
          <w:szCs w:val="24"/>
        </w:rPr>
        <w:t>.</w:t>
      </w:r>
      <w:r w:rsidR="00AF7482" w:rsidRPr="00985FCF">
        <w:rPr>
          <w:rFonts w:ascii="Times New Roman" w:hAnsi="Times New Roman" w:cs="Times New Roman"/>
          <w:sz w:val="24"/>
          <w:szCs w:val="24"/>
        </w:rPr>
        <w:t xml:space="preserve"> </w:t>
      </w:r>
      <w:r w:rsidR="00AF7482" w:rsidRPr="00AF7482">
        <w:rPr>
          <w:rFonts w:ascii="Times New Roman" w:hAnsi="Times New Roman" w:cs="Times New Roman"/>
          <w:sz w:val="24"/>
          <w:szCs w:val="24"/>
        </w:rPr>
        <w:t>Estos hallazgos proporcionan</w:t>
      </w:r>
      <w:r w:rsidR="00985FCF" w:rsidRPr="00985FCF">
        <w:rPr>
          <w:rFonts w:ascii="Times New Roman" w:hAnsi="Times New Roman" w:cs="Times New Roman"/>
          <w:sz w:val="24"/>
          <w:szCs w:val="24"/>
        </w:rPr>
        <w:t>una base sólida para la formulación de estrategias de gestión forestal sostenible. El diseño</w:t>
      </w:r>
      <w:r w:rsidR="00AF7482">
        <w:rPr>
          <w:rFonts w:ascii="Times New Roman" w:hAnsi="Times New Roman" w:cs="Times New Roman"/>
          <w:sz w:val="24"/>
          <w:szCs w:val="24"/>
        </w:rPr>
        <w:t xml:space="preserve"> del estudio</w:t>
      </w:r>
      <w:r w:rsidR="00985FCF" w:rsidRPr="00985FCF">
        <w:rPr>
          <w:rFonts w:ascii="Times New Roman" w:hAnsi="Times New Roman" w:cs="Times New Roman"/>
          <w:sz w:val="24"/>
          <w:szCs w:val="24"/>
        </w:rPr>
        <w:t xml:space="preserve"> incorporó además un marco de incertidumbre mediante</w:t>
      </w:r>
      <w:r w:rsidR="00AF7482">
        <w:rPr>
          <w:rFonts w:ascii="Times New Roman" w:hAnsi="Times New Roman" w:cs="Times New Roman"/>
          <w:sz w:val="24"/>
          <w:szCs w:val="24"/>
        </w:rPr>
        <w:t xml:space="preserve"> la utilización de </w:t>
      </w:r>
      <w:r w:rsidR="00985FCF" w:rsidRPr="00985FCF">
        <w:rPr>
          <w:rFonts w:ascii="Times New Roman" w:hAnsi="Times New Roman" w:cs="Times New Roman"/>
          <w:sz w:val="24"/>
          <w:szCs w:val="24"/>
        </w:rPr>
        <w:t xml:space="preserve"> intervalos de confianza y</w:t>
      </w:r>
      <w:r w:rsidR="00AF7482">
        <w:rPr>
          <w:rFonts w:ascii="Times New Roman" w:hAnsi="Times New Roman" w:cs="Times New Roman"/>
          <w:sz w:val="24"/>
          <w:szCs w:val="24"/>
        </w:rPr>
        <w:t xml:space="preserve"> un </w:t>
      </w:r>
      <w:r w:rsidR="00985FCF" w:rsidRPr="00985FCF">
        <w:rPr>
          <w:rFonts w:ascii="Times New Roman" w:hAnsi="Times New Roman" w:cs="Times New Roman"/>
          <w:sz w:val="24"/>
          <w:szCs w:val="24"/>
        </w:rPr>
        <w:t xml:space="preserve"> análisis de sensibilidad</w:t>
      </w:r>
      <w:r w:rsidR="00AF7482">
        <w:rPr>
          <w:rFonts w:ascii="Times New Roman" w:hAnsi="Times New Roman" w:cs="Times New Roman"/>
          <w:sz w:val="24"/>
          <w:szCs w:val="24"/>
        </w:rPr>
        <w:t xml:space="preserve">. </w:t>
      </w:r>
      <w:r w:rsidR="00AF7482" w:rsidRPr="00AF7482">
        <w:rPr>
          <w:rFonts w:ascii="Times New Roman" w:hAnsi="Times New Roman" w:cs="Times New Roman"/>
          <w:sz w:val="24"/>
          <w:szCs w:val="24"/>
        </w:rPr>
        <w:t>Esto permitió reconocer</w:t>
      </w:r>
      <w:r w:rsidR="00985FCF" w:rsidRPr="00985FCF">
        <w:rPr>
          <w:rFonts w:ascii="Times New Roman" w:hAnsi="Times New Roman" w:cs="Times New Roman"/>
          <w:sz w:val="24"/>
          <w:szCs w:val="24"/>
        </w:rPr>
        <w:t xml:space="preserve"> la naturaleza compleja y dinámica de los sistemas socioecológicos </w:t>
      </w:r>
      <w:r w:rsidR="00AF7482">
        <w:rPr>
          <w:rFonts w:ascii="Times New Roman" w:hAnsi="Times New Roman" w:cs="Times New Roman"/>
          <w:sz w:val="24"/>
          <w:szCs w:val="24"/>
        </w:rPr>
        <w:t>objeto de estudio</w:t>
      </w:r>
      <w:r w:rsidR="00985FCF" w:rsidRPr="00985FCF">
        <w:rPr>
          <w:rFonts w:ascii="Times New Roman" w:hAnsi="Times New Roman" w:cs="Times New Roman"/>
          <w:sz w:val="24"/>
          <w:szCs w:val="24"/>
        </w:rPr>
        <w:t>.</w:t>
      </w:r>
    </w:p>
    <w:p w14:paraId="3BD7BEEB" w14:textId="77777777" w:rsidR="0057742B" w:rsidRPr="0057742B" w:rsidRDefault="00021A01" w:rsidP="00F518F0">
      <w:pPr>
        <w:spacing w:after="120" w:line="360" w:lineRule="auto"/>
        <w:jc w:val="both"/>
        <w:rPr>
          <w:rFonts w:ascii="Times New Roman" w:hAnsi="Times New Roman" w:cs="Times New Roman"/>
          <w:i/>
          <w:iCs/>
          <w:sz w:val="24"/>
          <w:szCs w:val="24"/>
        </w:rPr>
      </w:pPr>
      <w:r w:rsidRPr="0057742B">
        <w:rPr>
          <w:rFonts w:ascii="Times New Roman" w:hAnsi="Times New Roman" w:cs="Times New Roman"/>
          <w:i/>
          <w:iCs/>
          <w:sz w:val="24"/>
          <w:szCs w:val="24"/>
        </w:rPr>
        <w:t>Análisis de la evolución temporal de los indicadores de productividad y sostenibilidad ambiental entre 2013 y 2024.</w:t>
      </w:r>
    </w:p>
    <w:p w14:paraId="36AC5732" w14:textId="7E23BB5C"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La selección de indicadores se realizó mediante un proceso sistemático de cuatro etapas</w:t>
      </w:r>
      <w:r w:rsidR="00661E07" w:rsidRPr="00661E07">
        <w:rPr>
          <w:rFonts w:ascii="Times New Roman" w:hAnsi="Times New Roman" w:cs="Times New Roman"/>
          <w:sz w:val="24"/>
          <w:szCs w:val="24"/>
        </w:rPr>
        <w:t>, en el que se utilizó</w:t>
      </w:r>
      <w:r w:rsidRPr="00985FCF">
        <w:rPr>
          <w:rFonts w:ascii="Times New Roman" w:hAnsi="Times New Roman" w:cs="Times New Roman"/>
          <w:sz w:val="24"/>
          <w:szCs w:val="24"/>
        </w:rPr>
        <w:t xml:space="preserve">el modelo de inteligencia artificial DeepSeek-V3 (Tabla 1). </w:t>
      </w:r>
      <w:r w:rsidR="00661E07" w:rsidRPr="00661E07">
        <w:rPr>
          <w:rFonts w:ascii="Times New Roman" w:hAnsi="Times New Roman" w:cs="Times New Roman"/>
          <w:sz w:val="24"/>
          <w:szCs w:val="24"/>
        </w:rPr>
        <w:t>En primer lugar</w:t>
      </w:r>
      <w:r w:rsidRPr="00985FCF">
        <w:rPr>
          <w:rFonts w:ascii="Times New Roman" w:hAnsi="Times New Roman" w:cs="Times New Roman"/>
          <w:sz w:val="24"/>
          <w:szCs w:val="24"/>
        </w:rPr>
        <w:t xml:space="preserve">, se </w:t>
      </w:r>
      <w:r w:rsidR="00661E07">
        <w:rPr>
          <w:rFonts w:ascii="Times New Roman" w:hAnsi="Times New Roman" w:cs="Times New Roman"/>
          <w:sz w:val="24"/>
          <w:szCs w:val="24"/>
        </w:rPr>
        <w:t>relizó</w:t>
      </w:r>
      <w:r w:rsidR="00661E07"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una búsqueda exhaustiva en la literatura científica internacional (Web of Science, Scopus) </w:t>
      </w:r>
      <w:r w:rsidR="00661E07">
        <w:rPr>
          <w:rFonts w:ascii="Times New Roman" w:hAnsi="Times New Roman" w:cs="Times New Roman"/>
          <w:sz w:val="24"/>
          <w:szCs w:val="24"/>
        </w:rPr>
        <w:t>mediante</w:t>
      </w:r>
      <w:r w:rsidR="00661E07" w:rsidRPr="00985FCF">
        <w:rPr>
          <w:rFonts w:ascii="Times New Roman" w:hAnsi="Times New Roman" w:cs="Times New Roman"/>
          <w:sz w:val="24"/>
          <w:szCs w:val="24"/>
        </w:rPr>
        <w:t xml:space="preserve"> </w:t>
      </w:r>
      <w:r w:rsidRPr="00985FCF">
        <w:rPr>
          <w:rFonts w:ascii="Times New Roman" w:hAnsi="Times New Roman" w:cs="Times New Roman"/>
          <w:sz w:val="24"/>
          <w:szCs w:val="24"/>
        </w:rPr>
        <w:t>las funcionalidades Search y DeepThink</w:t>
      </w:r>
      <w:r w:rsidR="00661E07">
        <w:rPr>
          <w:rFonts w:ascii="Times New Roman" w:hAnsi="Times New Roman" w:cs="Times New Roman"/>
          <w:sz w:val="24"/>
          <w:szCs w:val="24"/>
        </w:rPr>
        <w:t>, con el fin de</w:t>
      </w:r>
      <w:r w:rsidRPr="00985FCF">
        <w:rPr>
          <w:rFonts w:ascii="Times New Roman" w:hAnsi="Times New Roman" w:cs="Times New Roman"/>
          <w:sz w:val="24"/>
          <w:szCs w:val="24"/>
        </w:rPr>
        <w:t xml:space="preserve"> identificar indicadores potenciales relevantes para </w:t>
      </w:r>
      <w:r w:rsidR="00661E07">
        <w:rPr>
          <w:rFonts w:ascii="Times New Roman" w:hAnsi="Times New Roman" w:cs="Times New Roman"/>
          <w:sz w:val="24"/>
          <w:szCs w:val="24"/>
        </w:rPr>
        <w:t xml:space="preserve">los </w:t>
      </w:r>
      <w:r w:rsidRPr="00985FCF">
        <w:rPr>
          <w:rFonts w:ascii="Times New Roman" w:hAnsi="Times New Roman" w:cs="Times New Roman"/>
          <w:sz w:val="24"/>
          <w:szCs w:val="24"/>
        </w:rPr>
        <w:t xml:space="preserve">ecosistemas forestales tropicales. </w:t>
      </w:r>
      <w:r w:rsidR="00661E07">
        <w:rPr>
          <w:rFonts w:ascii="Times New Roman" w:hAnsi="Times New Roman" w:cs="Times New Roman"/>
          <w:sz w:val="24"/>
          <w:szCs w:val="24"/>
        </w:rPr>
        <w:t>A continuación</w:t>
      </w:r>
      <w:r w:rsidRPr="00985FCF">
        <w:rPr>
          <w:rFonts w:ascii="Times New Roman" w:hAnsi="Times New Roman" w:cs="Times New Roman"/>
          <w:sz w:val="24"/>
          <w:szCs w:val="24"/>
        </w:rPr>
        <w:t xml:space="preserve">, se aplicaron filtros de relevancia basados </w:t>
      </w:r>
      <w:r w:rsidR="00661E07">
        <w:rPr>
          <w:rFonts w:ascii="Times New Roman" w:hAnsi="Times New Roman" w:cs="Times New Roman"/>
          <w:sz w:val="24"/>
          <w:szCs w:val="24"/>
        </w:rPr>
        <w:t>la</w:t>
      </w:r>
      <w:r w:rsidR="00661E07"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frecuencia de citación, aplicabilidad operativa y </w:t>
      </w:r>
      <w:r w:rsidR="00661E07">
        <w:rPr>
          <w:rFonts w:ascii="Times New Roman" w:hAnsi="Times New Roman" w:cs="Times New Roman"/>
          <w:sz w:val="24"/>
          <w:szCs w:val="24"/>
        </w:rPr>
        <w:t xml:space="preserve">su </w:t>
      </w:r>
      <w:r w:rsidRPr="00985FCF">
        <w:rPr>
          <w:rFonts w:ascii="Times New Roman" w:hAnsi="Times New Roman" w:cs="Times New Roman"/>
          <w:sz w:val="24"/>
          <w:szCs w:val="24"/>
        </w:rPr>
        <w:t>alineación con los Objetivos de Desarrollo Sostenible.</w:t>
      </w:r>
    </w:p>
    <w:p w14:paraId="0C99EA9D" w14:textId="25DF7BB9" w:rsidR="00985FCF" w:rsidRPr="00985FCF" w:rsidRDefault="007A497E" w:rsidP="00F518F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la</w:t>
      </w:r>
      <w:r w:rsidRPr="00985FCF">
        <w:rPr>
          <w:rFonts w:ascii="Times New Roman" w:hAnsi="Times New Roman" w:cs="Times New Roman"/>
          <w:sz w:val="24"/>
          <w:szCs w:val="24"/>
        </w:rPr>
        <w:t xml:space="preserve"> </w:t>
      </w:r>
      <w:r w:rsidR="00985FCF" w:rsidRPr="00985FCF">
        <w:rPr>
          <w:rFonts w:ascii="Times New Roman" w:hAnsi="Times New Roman" w:cs="Times New Roman"/>
          <w:sz w:val="24"/>
          <w:szCs w:val="24"/>
        </w:rPr>
        <w:t>tercera etapa</w:t>
      </w:r>
      <w:r>
        <w:rPr>
          <w:rFonts w:ascii="Times New Roman" w:hAnsi="Times New Roman" w:cs="Times New Roman"/>
          <w:sz w:val="24"/>
          <w:szCs w:val="24"/>
        </w:rPr>
        <w:t>, se realizó</w:t>
      </w:r>
      <w:r w:rsidR="00985FCF" w:rsidRPr="00985FCF">
        <w:rPr>
          <w:rFonts w:ascii="Times New Roman" w:hAnsi="Times New Roman" w:cs="Times New Roman"/>
          <w:sz w:val="24"/>
          <w:szCs w:val="24"/>
        </w:rPr>
        <w:t xml:space="preserve"> en una valoración multicriterio mediante el método Analytic Hierarchy Process (AHP)</w:t>
      </w:r>
      <w:r>
        <w:rPr>
          <w:rFonts w:ascii="Times New Roman" w:hAnsi="Times New Roman" w:cs="Times New Roman"/>
          <w:sz w:val="24"/>
          <w:szCs w:val="24"/>
        </w:rPr>
        <w:t xml:space="preserve">, que </w:t>
      </w:r>
      <w:r w:rsidRPr="007A497E">
        <w:rPr>
          <w:rFonts w:ascii="Times New Roman" w:hAnsi="Times New Roman" w:cs="Times New Roman"/>
          <w:sz w:val="24"/>
          <w:szCs w:val="24"/>
        </w:rPr>
        <w:t>tuvo en cuenta los siguientes criterios</w:t>
      </w:r>
      <w:r w:rsidR="00985FCF" w:rsidRPr="00985FCF">
        <w:rPr>
          <w:rFonts w:ascii="Times New Roman" w:hAnsi="Times New Roman" w:cs="Times New Roman"/>
          <w:sz w:val="24"/>
          <w:szCs w:val="24"/>
        </w:rPr>
        <w:t>: precisión métrica (25</w:t>
      </w:r>
      <w:r w:rsidR="00030A13">
        <w:rPr>
          <w:rFonts w:ascii="Times New Roman" w:hAnsi="Times New Roman" w:cs="Times New Roman"/>
          <w:sz w:val="24"/>
          <w:szCs w:val="24"/>
        </w:rPr>
        <w:t xml:space="preserve"> </w:t>
      </w:r>
      <w:r w:rsidR="00985FCF" w:rsidRPr="00985FCF">
        <w:rPr>
          <w:rFonts w:ascii="Times New Roman" w:hAnsi="Times New Roman" w:cs="Times New Roman"/>
          <w:sz w:val="24"/>
          <w:szCs w:val="24"/>
        </w:rPr>
        <w:t>%), facilidad de medición (20%), sensibilidad a</w:t>
      </w:r>
      <w:r>
        <w:rPr>
          <w:rFonts w:ascii="Times New Roman" w:hAnsi="Times New Roman" w:cs="Times New Roman"/>
          <w:sz w:val="24"/>
          <w:szCs w:val="24"/>
        </w:rPr>
        <w:t xml:space="preserve"> los</w:t>
      </w:r>
      <w:r w:rsidR="00985FCF" w:rsidRPr="00985FCF">
        <w:rPr>
          <w:rFonts w:ascii="Times New Roman" w:hAnsi="Times New Roman" w:cs="Times New Roman"/>
          <w:sz w:val="24"/>
          <w:szCs w:val="24"/>
        </w:rPr>
        <w:t xml:space="preserve"> cambios (25</w:t>
      </w:r>
      <w:r w:rsidR="00030A13">
        <w:rPr>
          <w:rFonts w:ascii="Times New Roman" w:hAnsi="Times New Roman" w:cs="Times New Roman"/>
          <w:sz w:val="24"/>
          <w:szCs w:val="24"/>
        </w:rPr>
        <w:t xml:space="preserve"> </w:t>
      </w:r>
      <w:r w:rsidR="00985FCF" w:rsidRPr="00985FCF">
        <w:rPr>
          <w:rFonts w:ascii="Times New Roman" w:hAnsi="Times New Roman" w:cs="Times New Roman"/>
          <w:sz w:val="24"/>
          <w:szCs w:val="24"/>
        </w:rPr>
        <w:t xml:space="preserve">%), y relevancia para la toma de decisiones (30%). Finalmente, los indicadores seleccionados </w:t>
      </w:r>
      <w:r w:rsidRPr="007A497E">
        <w:rPr>
          <w:rFonts w:ascii="Times New Roman" w:hAnsi="Times New Roman" w:cs="Times New Roman"/>
          <w:sz w:val="24"/>
          <w:szCs w:val="24"/>
        </w:rPr>
        <w:t>se validaron</w:t>
      </w:r>
      <w:r w:rsidR="00985FCF" w:rsidRPr="00985FCF">
        <w:rPr>
          <w:rFonts w:ascii="Times New Roman" w:hAnsi="Times New Roman" w:cs="Times New Roman"/>
          <w:sz w:val="24"/>
          <w:szCs w:val="24"/>
        </w:rPr>
        <w:t xml:space="preserve"> mediante un panel de expertos del sector forestal (n</w:t>
      </w:r>
      <w:r>
        <w:rPr>
          <w:rFonts w:ascii="Times New Roman" w:hAnsi="Times New Roman" w:cs="Times New Roman"/>
          <w:sz w:val="24"/>
          <w:szCs w:val="24"/>
        </w:rPr>
        <w:t xml:space="preserve"> </w:t>
      </w:r>
      <w:r w:rsidR="00985FCF" w:rsidRPr="00985FCF">
        <w:rPr>
          <w:rFonts w:ascii="Times New Roman" w:hAnsi="Times New Roman" w:cs="Times New Roman"/>
          <w:sz w:val="24"/>
          <w:szCs w:val="24"/>
        </w:rPr>
        <w:t>=</w:t>
      </w:r>
      <w:r>
        <w:rPr>
          <w:rFonts w:ascii="Times New Roman" w:hAnsi="Times New Roman" w:cs="Times New Roman"/>
          <w:sz w:val="24"/>
          <w:szCs w:val="24"/>
        </w:rPr>
        <w:t xml:space="preserve"> </w:t>
      </w:r>
      <w:r w:rsidR="00985FCF" w:rsidRPr="00985FCF">
        <w:rPr>
          <w:rFonts w:ascii="Times New Roman" w:hAnsi="Times New Roman" w:cs="Times New Roman"/>
          <w:sz w:val="24"/>
          <w:szCs w:val="24"/>
        </w:rPr>
        <w:t>7) utilizando la técnica Delphi modificada con tres rondas de consenso.</w:t>
      </w:r>
    </w:p>
    <w:tbl>
      <w:tblPr>
        <w:tblStyle w:val="Tablaconcuadrcula"/>
        <w:tblW w:w="8751" w:type="dxa"/>
        <w:jc w:val="center"/>
        <w:tblLook w:val="04A0" w:firstRow="1" w:lastRow="0" w:firstColumn="1" w:lastColumn="0" w:noHBand="0" w:noVBand="1"/>
      </w:tblPr>
      <w:tblGrid>
        <w:gridCol w:w="2584"/>
        <w:gridCol w:w="1364"/>
        <w:gridCol w:w="3146"/>
        <w:gridCol w:w="1657"/>
      </w:tblGrid>
      <w:tr w:rsidR="00985FCF" w:rsidRPr="00985FCF" w14:paraId="2EBD8232" w14:textId="77777777" w:rsidTr="00F518F0">
        <w:trPr>
          <w:jc w:val="center"/>
        </w:trPr>
        <w:tc>
          <w:tcPr>
            <w:tcW w:w="2584" w:type="dxa"/>
            <w:vAlign w:val="center"/>
          </w:tcPr>
          <w:p w14:paraId="770CC1E7" w14:textId="77777777" w:rsidR="00985FCF" w:rsidRPr="00985FCF" w:rsidRDefault="00985FCF" w:rsidP="006F142B">
            <w:pPr>
              <w:spacing w:after="120"/>
              <w:rPr>
                <w:rFonts w:ascii="Times New Roman" w:hAnsi="Times New Roman" w:cs="Times New Roman"/>
                <w:b/>
                <w:bCs/>
                <w:sz w:val="20"/>
                <w:szCs w:val="20"/>
              </w:rPr>
            </w:pPr>
            <w:r w:rsidRPr="00985FCF">
              <w:rPr>
                <w:rFonts w:ascii="Times New Roman" w:hAnsi="Times New Roman" w:cs="Times New Roman"/>
                <w:b/>
                <w:bCs/>
                <w:sz w:val="20"/>
                <w:szCs w:val="20"/>
              </w:rPr>
              <w:t>Indicador</w:t>
            </w:r>
          </w:p>
        </w:tc>
        <w:tc>
          <w:tcPr>
            <w:tcW w:w="1364" w:type="dxa"/>
            <w:vAlign w:val="center"/>
          </w:tcPr>
          <w:p w14:paraId="3F77ABE9" w14:textId="77777777" w:rsidR="00985FCF" w:rsidRPr="00985FCF" w:rsidRDefault="00985FCF" w:rsidP="006F142B">
            <w:pPr>
              <w:spacing w:after="120"/>
              <w:rPr>
                <w:rFonts w:ascii="Times New Roman" w:hAnsi="Times New Roman" w:cs="Times New Roman"/>
                <w:b/>
                <w:bCs/>
                <w:sz w:val="20"/>
                <w:szCs w:val="20"/>
              </w:rPr>
            </w:pPr>
            <w:r w:rsidRPr="00985FCF">
              <w:rPr>
                <w:rFonts w:ascii="Times New Roman" w:hAnsi="Times New Roman" w:cs="Times New Roman"/>
                <w:b/>
                <w:bCs/>
                <w:sz w:val="20"/>
                <w:szCs w:val="20"/>
              </w:rPr>
              <w:t>Sigla</w:t>
            </w:r>
          </w:p>
        </w:tc>
        <w:tc>
          <w:tcPr>
            <w:tcW w:w="3146" w:type="dxa"/>
            <w:vAlign w:val="center"/>
          </w:tcPr>
          <w:p w14:paraId="6D0AE02F" w14:textId="77777777" w:rsidR="00985FCF" w:rsidRPr="00985FCF" w:rsidRDefault="00985FCF" w:rsidP="006F142B">
            <w:pPr>
              <w:spacing w:after="120"/>
              <w:rPr>
                <w:rFonts w:ascii="Times New Roman" w:hAnsi="Times New Roman" w:cs="Times New Roman"/>
                <w:b/>
                <w:bCs/>
                <w:sz w:val="20"/>
                <w:szCs w:val="20"/>
              </w:rPr>
            </w:pPr>
            <w:r w:rsidRPr="00985FCF">
              <w:rPr>
                <w:rFonts w:ascii="Times New Roman" w:hAnsi="Times New Roman" w:cs="Times New Roman"/>
                <w:b/>
                <w:bCs/>
                <w:sz w:val="20"/>
                <w:szCs w:val="20"/>
              </w:rPr>
              <w:t>Definición Operacional</w:t>
            </w:r>
          </w:p>
        </w:tc>
        <w:tc>
          <w:tcPr>
            <w:tcW w:w="1657" w:type="dxa"/>
            <w:vAlign w:val="center"/>
          </w:tcPr>
          <w:p w14:paraId="55476368" w14:textId="77777777" w:rsidR="00985FCF" w:rsidRPr="00985FCF" w:rsidRDefault="00985FCF" w:rsidP="006F142B">
            <w:pPr>
              <w:spacing w:after="120"/>
              <w:rPr>
                <w:rFonts w:ascii="Times New Roman" w:hAnsi="Times New Roman" w:cs="Times New Roman"/>
                <w:b/>
                <w:bCs/>
                <w:sz w:val="20"/>
                <w:szCs w:val="20"/>
              </w:rPr>
            </w:pPr>
            <w:r w:rsidRPr="00985FCF">
              <w:rPr>
                <w:rFonts w:ascii="Times New Roman" w:hAnsi="Times New Roman" w:cs="Times New Roman"/>
                <w:b/>
                <w:bCs/>
                <w:sz w:val="20"/>
                <w:szCs w:val="20"/>
              </w:rPr>
              <w:t>Fuente</w:t>
            </w:r>
          </w:p>
        </w:tc>
      </w:tr>
      <w:tr w:rsidR="00985FCF" w:rsidRPr="00985FCF" w14:paraId="6C22E7D9" w14:textId="77777777" w:rsidTr="00F518F0">
        <w:trPr>
          <w:jc w:val="center"/>
        </w:trPr>
        <w:tc>
          <w:tcPr>
            <w:tcW w:w="2584" w:type="dxa"/>
            <w:vAlign w:val="center"/>
          </w:tcPr>
          <w:p w14:paraId="373883D8"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Índice de Cobertura Forestal</w:t>
            </w:r>
          </w:p>
        </w:tc>
        <w:tc>
          <w:tcPr>
            <w:tcW w:w="1364" w:type="dxa"/>
            <w:vAlign w:val="center"/>
          </w:tcPr>
          <w:p w14:paraId="0E26BA7B"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ICF</w:t>
            </w:r>
          </w:p>
        </w:tc>
        <w:tc>
          <w:tcPr>
            <w:tcW w:w="3146" w:type="dxa"/>
            <w:vAlign w:val="center"/>
          </w:tcPr>
          <w:p w14:paraId="7ECCBF52"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Porcentaje de área cubierta por vegetación forestal ≥5m de altura</w:t>
            </w:r>
          </w:p>
        </w:tc>
        <w:tc>
          <w:tcPr>
            <w:tcW w:w="1657" w:type="dxa"/>
            <w:vAlign w:val="center"/>
          </w:tcPr>
          <w:p w14:paraId="0FD4A74D"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Sentinel-2 (10m)</w:t>
            </w:r>
          </w:p>
        </w:tc>
      </w:tr>
      <w:tr w:rsidR="00985FCF" w:rsidRPr="00985FCF" w14:paraId="10F224A0" w14:textId="77777777" w:rsidTr="00F518F0">
        <w:trPr>
          <w:jc w:val="center"/>
        </w:trPr>
        <w:tc>
          <w:tcPr>
            <w:tcW w:w="2584" w:type="dxa"/>
            <w:vAlign w:val="center"/>
          </w:tcPr>
          <w:p w14:paraId="1225567D"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Índice de Cambio de Cobertura Forestal</w:t>
            </w:r>
          </w:p>
        </w:tc>
        <w:tc>
          <w:tcPr>
            <w:tcW w:w="1364" w:type="dxa"/>
            <w:vAlign w:val="center"/>
          </w:tcPr>
          <w:p w14:paraId="3D73A731"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ICCF</w:t>
            </w:r>
          </w:p>
        </w:tc>
        <w:tc>
          <w:tcPr>
            <w:tcW w:w="3146" w:type="dxa"/>
            <w:vAlign w:val="center"/>
          </w:tcPr>
          <w:p w14:paraId="18E1DBF8"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Tasa neta de cambio interanual de la cobertura forestal</w:t>
            </w:r>
          </w:p>
        </w:tc>
        <w:tc>
          <w:tcPr>
            <w:tcW w:w="1657" w:type="dxa"/>
            <w:vAlign w:val="center"/>
          </w:tcPr>
          <w:p w14:paraId="2BC0726A"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Análisis multitemporal Sentinel-2</w:t>
            </w:r>
          </w:p>
        </w:tc>
      </w:tr>
      <w:tr w:rsidR="00985FCF" w:rsidRPr="00985FCF" w14:paraId="0A00CE8E" w14:textId="77777777" w:rsidTr="00F518F0">
        <w:trPr>
          <w:jc w:val="center"/>
        </w:trPr>
        <w:tc>
          <w:tcPr>
            <w:tcW w:w="2584" w:type="dxa"/>
            <w:vAlign w:val="center"/>
          </w:tcPr>
          <w:p w14:paraId="3473D8FB"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Índice de Producción Maderera</w:t>
            </w:r>
          </w:p>
        </w:tc>
        <w:tc>
          <w:tcPr>
            <w:tcW w:w="1364" w:type="dxa"/>
            <w:vAlign w:val="center"/>
          </w:tcPr>
          <w:p w14:paraId="5B57DA44"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IPM</w:t>
            </w:r>
          </w:p>
        </w:tc>
        <w:tc>
          <w:tcPr>
            <w:tcW w:w="3146" w:type="dxa"/>
            <w:vAlign w:val="center"/>
          </w:tcPr>
          <w:p w14:paraId="545D4EAD"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Volumen comercial aprovechado por hectárea</w:t>
            </w:r>
          </w:p>
        </w:tc>
        <w:tc>
          <w:tcPr>
            <w:tcW w:w="1657" w:type="dxa"/>
            <w:vAlign w:val="center"/>
          </w:tcPr>
          <w:p w14:paraId="1AA012E0"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Registros operativos</w:t>
            </w:r>
          </w:p>
        </w:tc>
      </w:tr>
      <w:tr w:rsidR="00985FCF" w:rsidRPr="00985FCF" w14:paraId="08968134" w14:textId="77777777" w:rsidTr="00F518F0">
        <w:trPr>
          <w:jc w:val="center"/>
        </w:trPr>
        <w:tc>
          <w:tcPr>
            <w:tcW w:w="2584" w:type="dxa"/>
            <w:vAlign w:val="center"/>
          </w:tcPr>
          <w:p w14:paraId="5C00D362"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Índice de Productividad Forestal</w:t>
            </w:r>
          </w:p>
        </w:tc>
        <w:tc>
          <w:tcPr>
            <w:tcW w:w="1364" w:type="dxa"/>
            <w:vAlign w:val="center"/>
          </w:tcPr>
          <w:p w14:paraId="26BA407A"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IPF</w:t>
            </w:r>
          </w:p>
        </w:tc>
        <w:tc>
          <w:tcPr>
            <w:tcW w:w="3146" w:type="dxa"/>
            <w:vAlign w:val="center"/>
          </w:tcPr>
          <w:p w14:paraId="5248550C"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Relación entre producción real y potencial estimada</w:t>
            </w:r>
          </w:p>
        </w:tc>
        <w:tc>
          <w:tcPr>
            <w:tcW w:w="1657" w:type="dxa"/>
            <w:vAlign w:val="center"/>
          </w:tcPr>
          <w:p w14:paraId="3BF38733"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Inventarios forestales + modelos de crecimiento</w:t>
            </w:r>
          </w:p>
        </w:tc>
      </w:tr>
      <w:tr w:rsidR="00985FCF" w:rsidRPr="00985FCF" w14:paraId="45F3AC3A" w14:textId="77777777" w:rsidTr="00F518F0">
        <w:trPr>
          <w:jc w:val="center"/>
        </w:trPr>
        <w:tc>
          <w:tcPr>
            <w:tcW w:w="2584" w:type="dxa"/>
            <w:vAlign w:val="center"/>
          </w:tcPr>
          <w:p w14:paraId="10E75AEC"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Índice de Impacto de Producción Forestal</w:t>
            </w:r>
          </w:p>
        </w:tc>
        <w:tc>
          <w:tcPr>
            <w:tcW w:w="1364" w:type="dxa"/>
            <w:vAlign w:val="center"/>
          </w:tcPr>
          <w:p w14:paraId="1697B799"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IIPF</w:t>
            </w:r>
          </w:p>
        </w:tc>
        <w:tc>
          <w:tcPr>
            <w:tcW w:w="3146" w:type="dxa"/>
            <w:vAlign w:val="center"/>
          </w:tcPr>
          <w:p w14:paraId="556B3455"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Ratio entre área perturbada y área total aprovechada</w:t>
            </w:r>
          </w:p>
        </w:tc>
        <w:tc>
          <w:tcPr>
            <w:tcW w:w="1657" w:type="dxa"/>
            <w:vAlign w:val="center"/>
          </w:tcPr>
          <w:p w14:paraId="0CC39339"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Evaluación in situ</w:t>
            </w:r>
          </w:p>
        </w:tc>
      </w:tr>
      <w:tr w:rsidR="00985FCF" w:rsidRPr="00985FCF" w14:paraId="57B8F6B8" w14:textId="77777777" w:rsidTr="00F518F0">
        <w:trPr>
          <w:jc w:val="center"/>
        </w:trPr>
        <w:tc>
          <w:tcPr>
            <w:tcW w:w="2584" w:type="dxa"/>
            <w:vAlign w:val="center"/>
          </w:tcPr>
          <w:p w14:paraId="30230197"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Índice de Capacidad de Carga Forestal</w:t>
            </w:r>
          </w:p>
        </w:tc>
        <w:tc>
          <w:tcPr>
            <w:tcW w:w="1364" w:type="dxa"/>
            <w:vAlign w:val="center"/>
          </w:tcPr>
          <w:p w14:paraId="4A00D380"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ICC_carga</w:t>
            </w:r>
          </w:p>
        </w:tc>
        <w:tc>
          <w:tcPr>
            <w:tcW w:w="3146" w:type="dxa"/>
            <w:vAlign w:val="center"/>
          </w:tcPr>
          <w:p w14:paraId="1CBEA095"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Capacidad del ecosistema para sostener actividades productivas</w:t>
            </w:r>
          </w:p>
        </w:tc>
        <w:tc>
          <w:tcPr>
            <w:tcW w:w="1657" w:type="dxa"/>
            <w:vAlign w:val="center"/>
          </w:tcPr>
          <w:p w14:paraId="582327C1"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Modelo LVII</w:t>
            </w:r>
          </w:p>
        </w:tc>
      </w:tr>
      <w:tr w:rsidR="00985FCF" w:rsidRPr="00985FCF" w14:paraId="41B00A58" w14:textId="77777777" w:rsidTr="00F518F0">
        <w:trPr>
          <w:jc w:val="center"/>
        </w:trPr>
        <w:tc>
          <w:tcPr>
            <w:tcW w:w="2584" w:type="dxa"/>
            <w:vAlign w:val="center"/>
          </w:tcPr>
          <w:p w14:paraId="6DDDE85A"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Índice de Rentabilidad Financiera</w:t>
            </w:r>
          </w:p>
        </w:tc>
        <w:tc>
          <w:tcPr>
            <w:tcW w:w="1364" w:type="dxa"/>
            <w:vAlign w:val="center"/>
          </w:tcPr>
          <w:p w14:paraId="7527BA08"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IRF</w:t>
            </w:r>
          </w:p>
        </w:tc>
        <w:tc>
          <w:tcPr>
            <w:tcW w:w="3146" w:type="dxa"/>
            <w:vAlign w:val="center"/>
          </w:tcPr>
          <w:p w14:paraId="1018B022"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Relación beneficio neto/costo total de operación</w:t>
            </w:r>
          </w:p>
        </w:tc>
        <w:tc>
          <w:tcPr>
            <w:tcW w:w="1657" w:type="dxa"/>
            <w:vAlign w:val="center"/>
          </w:tcPr>
          <w:p w14:paraId="1E29B922"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Estados financieros</w:t>
            </w:r>
          </w:p>
        </w:tc>
      </w:tr>
      <w:tr w:rsidR="00985FCF" w:rsidRPr="00985FCF" w14:paraId="3CBB9A64" w14:textId="77777777" w:rsidTr="00F518F0">
        <w:trPr>
          <w:jc w:val="center"/>
        </w:trPr>
        <w:tc>
          <w:tcPr>
            <w:tcW w:w="2584" w:type="dxa"/>
            <w:vAlign w:val="center"/>
          </w:tcPr>
          <w:p w14:paraId="1989A644"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Índice de Potencial de Aprovechamiento Sostenible</w:t>
            </w:r>
          </w:p>
        </w:tc>
        <w:tc>
          <w:tcPr>
            <w:tcW w:w="1364" w:type="dxa"/>
            <w:vAlign w:val="center"/>
          </w:tcPr>
          <w:p w14:paraId="50BC3F71"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IPAS</w:t>
            </w:r>
          </w:p>
        </w:tc>
        <w:tc>
          <w:tcPr>
            <w:tcW w:w="3146" w:type="dxa"/>
            <w:vAlign w:val="center"/>
          </w:tcPr>
          <w:p w14:paraId="60DAA97E"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Volumen máximo aprovechable manteniendo capital natural</w:t>
            </w:r>
          </w:p>
        </w:tc>
        <w:tc>
          <w:tcPr>
            <w:tcW w:w="1657" w:type="dxa"/>
            <w:vAlign w:val="center"/>
          </w:tcPr>
          <w:p w14:paraId="3FA51FA4"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Inventarios forestales</w:t>
            </w:r>
          </w:p>
        </w:tc>
      </w:tr>
    </w:tbl>
    <w:p w14:paraId="041EB092" w14:textId="77777777" w:rsidR="00985FCF" w:rsidRPr="00985FCF" w:rsidRDefault="00985FCF" w:rsidP="00F518F0">
      <w:pPr>
        <w:spacing w:after="120" w:line="360" w:lineRule="auto"/>
        <w:jc w:val="both"/>
        <w:rPr>
          <w:rFonts w:ascii="Times New Roman" w:hAnsi="Times New Roman" w:cs="Times New Roman"/>
          <w:sz w:val="8"/>
          <w:szCs w:val="8"/>
        </w:rPr>
      </w:pPr>
    </w:p>
    <w:p w14:paraId="6D608D62" w14:textId="2C1CE6A2" w:rsidR="009E1EA8" w:rsidRDefault="009E1EA8" w:rsidP="0057742B">
      <w:pPr>
        <w:spacing w:after="120" w:line="240" w:lineRule="auto"/>
        <w:jc w:val="center"/>
        <w:rPr>
          <w:rFonts w:ascii="Times New Roman" w:hAnsi="Times New Roman" w:cs="Times New Roman"/>
          <w:sz w:val="24"/>
          <w:szCs w:val="24"/>
        </w:rPr>
      </w:pPr>
      <w:r w:rsidRPr="009E1EA8">
        <w:rPr>
          <w:rFonts w:ascii="Times New Roman" w:hAnsi="Times New Roman" w:cs="Times New Roman"/>
          <w:sz w:val="24"/>
          <w:szCs w:val="24"/>
        </w:rPr>
        <w:t>Tabla 1. Descripción de indicadores de sostenibilidad ambiental y productividad forestal mediante el modelo de inteligencia artificial DeepSeek-V3.</w:t>
      </w:r>
    </w:p>
    <w:p w14:paraId="28687408" w14:textId="70DCA109"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Las fuentes de datos incluyeron registros </w:t>
      </w:r>
      <w:r w:rsidR="001E1327" w:rsidRPr="001E1327">
        <w:rPr>
          <w:rFonts w:ascii="Times New Roman" w:hAnsi="Times New Roman" w:cs="Times New Roman"/>
          <w:sz w:val="24"/>
          <w:szCs w:val="24"/>
        </w:rPr>
        <w:t xml:space="preserve">institucionales </w:t>
      </w:r>
      <w:r w:rsidRPr="00985FCF">
        <w:rPr>
          <w:rFonts w:ascii="Times New Roman" w:hAnsi="Times New Roman" w:cs="Times New Roman"/>
          <w:sz w:val="24"/>
          <w:szCs w:val="24"/>
        </w:rPr>
        <w:t xml:space="preserve">primarios, sensores remotos y mediciones in situ. Los datos operativos y financieros (2013-2024) se obtuvieron de los sistemas de información de la UEB Silvícola Guisa, mediante un protocolo de extracción estandarizado que incluyó </w:t>
      </w:r>
      <w:r w:rsidR="001E1327">
        <w:rPr>
          <w:rFonts w:ascii="Times New Roman" w:hAnsi="Times New Roman" w:cs="Times New Roman"/>
          <w:sz w:val="24"/>
          <w:szCs w:val="24"/>
        </w:rPr>
        <w:t xml:space="preserve">una </w:t>
      </w:r>
      <w:r w:rsidRPr="00985FCF">
        <w:rPr>
          <w:rFonts w:ascii="Times New Roman" w:hAnsi="Times New Roman" w:cs="Times New Roman"/>
          <w:sz w:val="24"/>
          <w:szCs w:val="24"/>
        </w:rPr>
        <w:t xml:space="preserve">validación cruzada con actas de aprovechamiento </w:t>
      </w:r>
      <w:r w:rsidR="001E1327">
        <w:rPr>
          <w:rFonts w:ascii="Times New Roman" w:hAnsi="Times New Roman" w:cs="Times New Roman"/>
          <w:sz w:val="24"/>
          <w:szCs w:val="24"/>
        </w:rPr>
        <w:t>e informes</w:t>
      </w:r>
      <w:r w:rsidRPr="00985FCF">
        <w:rPr>
          <w:rFonts w:ascii="Times New Roman" w:hAnsi="Times New Roman" w:cs="Times New Roman"/>
          <w:sz w:val="24"/>
          <w:szCs w:val="24"/>
        </w:rPr>
        <w:t xml:space="preserve"> contables. </w:t>
      </w:r>
      <w:r w:rsidR="001E1327">
        <w:rPr>
          <w:rFonts w:ascii="Times New Roman" w:hAnsi="Times New Roman" w:cs="Times New Roman"/>
          <w:sz w:val="24"/>
          <w:szCs w:val="24"/>
        </w:rPr>
        <w:t>En cuanto a</w:t>
      </w:r>
      <w:r w:rsidR="001E1327"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las imágenes satelitales, se </w:t>
      </w:r>
      <w:r w:rsidR="001E1327">
        <w:rPr>
          <w:rFonts w:ascii="Times New Roman" w:hAnsi="Times New Roman" w:cs="Times New Roman"/>
          <w:sz w:val="24"/>
          <w:szCs w:val="24"/>
        </w:rPr>
        <w:t>emplearon</w:t>
      </w:r>
      <w:r w:rsidR="001E1327" w:rsidRPr="00985FCF">
        <w:rPr>
          <w:rFonts w:ascii="Times New Roman" w:hAnsi="Times New Roman" w:cs="Times New Roman"/>
          <w:sz w:val="24"/>
          <w:szCs w:val="24"/>
        </w:rPr>
        <w:t xml:space="preserve"> </w:t>
      </w:r>
      <w:r w:rsidRPr="00985FCF">
        <w:rPr>
          <w:rFonts w:ascii="Times New Roman" w:hAnsi="Times New Roman" w:cs="Times New Roman"/>
          <w:sz w:val="24"/>
          <w:szCs w:val="24"/>
        </w:rPr>
        <w:t>productos Sentinel-2 MSI (</w:t>
      </w:r>
      <w:r w:rsidR="001E1327">
        <w:rPr>
          <w:rFonts w:ascii="Times New Roman" w:hAnsi="Times New Roman" w:cs="Times New Roman"/>
          <w:sz w:val="24"/>
          <w:szCs w:val="24"/>
        </w:rPr>
        <w:t xml:space="preserve">con una resolución de </w:t>
      </w:r>
      <w:r w:rsidRPr="00985FCF">
        <w:rPr>
          <w:rFonts w:ascii="Times New Roman" w:hAnsi="Times New Roman" w:cs="Times New Roman"/>
          <w:sz w:val="24"/>
          <w:szCs w:val="24"/>
        </w:rPr>
        <w:t>10m) y Landsat 8 OLI (</w:t>
      </w:r>
      <w:r w:rsidR="00A04E94" w:rsidRPr="00A04E94">
        <w:rPr>
          <w:rFonts w:ascii="Times New Roman" w:hAnsi="Times New Roman" w:cs="Times New Roman"/>
          <w:sz w:val="24"/>
          <w:szCs w:val="24"/>
        </w:rPr>
        <w:t>con una resolución de 30 m</w:t>
      </w:r>
      <w:r w:rsidRPr="00985FCF">
        <w:rPr>
          <w:rFonts w:ascii="Times New Roman" w:hAnsi="Times New Roman" w:cs="Times New Roman"/>
          <w:sz w:val="24"/>
          <w:szCs w:val="24"/>
        </w:rPr>
        <w:t xml:space="preserve">), con correcciones atmosféricas y geométricas mediante el </w:t>
      </w:r>
      <w:r w:rsidR="00A04E94">
        <w:rPr>
          <w:rFonts w:ascii="Times New Roman" w:hAnsi="Times New Roman" w:cs="Times New Roman"/>
          <w:sz w:val="24"/>
          <w:szCs w:val="24"/>
        </w:rPr>
        <w:t>complemento</w:t>
      </w:r>
      <w:r w:rsidR="00A04E94"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Semi-Automatic Classification Plugin </w:t>
      </w:r>
      <w:r w:rsidR="00A04E94" w:rsidRPr="00A04E94">
        <w:rPr>
          <w:rFonts w:ascii="Times New Roman" w:hAnsi="Times New Roman" w:cs="Times New Roman"/>
          <w:sz w:val="24"/>
          <w:szCs w:val="24"/>
        </w:rPr>
        <w:t>del programa informático</w:t>
      </w:r>
      <w:r w:rsidRPr="00985FCF">
        <w:rPr>
          <w:rFonts w:ascii="Times New Roman" w:hAnsi="Times New Roman" w:cs="Times New Roman"/>
          <w:sz w:val="24"/>
          <w:szCs w:val="24"/>
        </w:rPr>
        <w:t xml:space="preserve"> QGIS. Los datos climáticos</w:t>
      </w:r>
      <w:r w:rsidR="00A04E94" w:rsidRPr="00A04E94">
        <w:rPr>
          <w:rFonts w:ascii="Times New Roman" w:hAnsi="Times New Roman" w:cs="Times New Roman"/>
          <w:sz w:val="24"/>
          <w:szCs w:val="24"/>
        </w:rPr>
        <w:t>, que incluían precipitación, temperatura y evapotranspiración potencial,</w:t>
      </w:r>
      <w:r w:rsidRPr="00985FCF">
        <w:rPr>
          <w:rFonts w:ascii="Times New Roman" w:hAnsi="Times New Roman" w:cs="Times New Roman"/>
          <w:sz w:val="24"/>
          <w:szCs w:val="24"/>
        </w:rPr>
        <w:t xml:space="preserve"> se obtuvieron del Instituto de Meteorología de Cuba</w:t>
      </w:r>
      <w:r w:rsidR="00A04E94">
        <w:rPr>
          <w:rFonts w:ascii="Times New Roman" w:hAnsi="Times New Roman" w:cs="Times New Roman"/>
          <w:sz w:val="24"/>
          <w:szCs w:val="24"/>
        </w:rPr>
        <w:t>.</w:t>
      </w:r>
    </w:p>
    <w:p w14:paraId="4A382A14" w14:textId="13466073"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lastRenderedPageBreak/>
        <w:t xml:space="preserve">Las campañas de verificación se </w:t>
      </w:r>
      <w:r w:rsidR="007C58AD" w:rsidRPr="007C58AD">
        <w:rPr>
          <w:rFonts w:ascii="Times New Roman" w:hAnsi="Times New Roman" w:cs="Times New Roman"/>
          <w:sz w:val="24"/>
          <w:szCs w:val="24"/>
        </w:rPr>
        <w:t>implementaron</w:t>
      </w:r>
      <w:r w:rsidRPr="00985FCF">
        <w:rPr>
          <w:rFonts w:ascii="Times New Roman" w:hAnsi="Times New Roman" w:cs="Times New Roman"/>
          <w:sz w:val="24"/>
          <w:szCs w:val="24"/>
        </w:rPr>
        <w:t xml:space="preserve"> en 45 parcelas de 0</w:t>
      </w:r>
      <w:r w:rsidR="00030A13">
        <w:rPr>
          <w:rFonts w:ascii="Times New Roman" w:hAnsi="Times New Roman" w:cs="Times New Roman"/>
          <w:sz w:val="24"/>
          <w:szCs w:val="24"/>
        </w:rPr>
        <w:t>,</w:t>
      </w:r>
      <w:r w:rsidRPr="00985FCF">
        <w:rPr>
          <w:rFonts w:ascii="Times New Roman" w:hAnsi="Times New Roman" w:cs="Times New Roman"/>
          <w:sz w:val="24"/>
          <w:szCs w:val="24"/>
        </w:rPr>
        <w:t xml:space="preserve">5 ha distribuidas mediante </w:t>
      </w:r>
      <w:r w:rsidR="007C58AD">
        <w:rPr>
          <w:rFonts w:ascii="Times New Roman" w:hAnsi="Times New Roman" w:cs="Times New Roman"/>
          <w:sz w:val="24"/>
          <w:szCs w:val="24"/>
        </w:rPr>
        <w:t xml:space="preserve">un </w:t>
      </w:r>
      <w:r w:rsidRPr="00985FCF">
        <w:rPr>
          <w:rFonts w:ascii="Times New Roman" w:hAnsi="Times New Roman" w:cs="Times New Roman"/>
          <w:sz w:val="24"/>
          <w:szCs w:val="24"/>
        </w:rPr>
        <w:t xml:space="preserve">muestreo estratificado aleatorio, considerando tres tipos de bosque predominantes. En cada parcela se </w:t>
      </w:r>
      <w:r w:rsidR="007C58AD" w:rsidRPr="007C58AD">
        <w:rPr>
          <w:rFonts w:ascii="Times New Roman" w:hAnsi="Times New Roman" w:cs="Times New Roman"/>
          <w:sz w:val="24"/>
          <w:szCs w:val="24"/>
        </w:rPr>
        <w:t>llevó a cabo una medición exhaustiva de los parámetros siguientes</w:t>
      </w:r>
      <w:r w:rsidRPr="00985FCF">
        <w:rPr>
          <w:rFonts w:ascii="Times New Roman" w:hAnsi="Times New Roman" w:cs="Times New Roman"/>
          <w:sz w:val="24"/>
          <w:szCs w:val="24"/>
        </w:rPr>
        <w:t>: diámetro a la altura del pecho (DAP ≥10</w:t>
      </w:r>
      <w:r w:rsidR="00030A13">
        <w:rPr>
          <w:rFonts w:ascii="Times New Roman" w:hAnsi="Times New Roman" w:cs="Times New Roman"/>
          <w:sz w:val="24"/>
          <w:szCs w:val="24"/>
        </w:rPr>
        <w:t xml:space="preserve"> </w:t>
      </w:r>
      <w:r w:rsidRPr="00985FCF">
        <w:rPr>
          <w:rFonts w:ascii="Times New Roman" w:hAnsi="Times New Roman" w:cs="Times New Roman"/>
          <w:sz w:val="24"/>
          <w:szCs w:val="24"/>
        </w:rPr>
        <w:t xml:space="preserve">cm), altura total, regeneración natural, y evidencias de perturbación antrópica. La recolección de datos </w:t>
      </w:r>
      <w:r w:rsidR="007C58AD" w:rsidRPr="007C58AD">
        <w:rPr>
          <w:rFonts w:ascii="Times New Roman" w:hAnsi="Times New Roman" w:cs="Times New Roman"/>
          <w:sz w:val="24"/>
          <w:szCs w:val="24"/>
        </w:rPr>
        <w:t>se llevó a cabo siguiendo los</w:t>
      </w:r>
      <w:r w:rsidRPr="00985FCF">
        <w:rPr>
          <w:rFonts w:ascii="Times New Roman" w:hAnsi="Times New Roman" w:cs="Times New Roman"/>
          <w:sz w:val="24"/>
          <w:szCs w:val="24"/>
        </w:rPr>
        <w:t xml:space="preserve"> protocolos </w:t>
      </w:r>
      <w:r w:rsidR="007C58AD" w:rsidRPr="007C58AD">
        <w:rPr>
          <w:rFonts w:ascii="Times New Roman" w:hAnsi="Times New Roman" w:cs="Times New Roman"/>
          <w:sz w:val="24"/>
          <w:szCs w:val="24"/>
        </w:rPr>
        <w:t>estipulados por la Organización de las Naciones Unidas para la Alimentación y la Agricultura (FAO)</w:t>
      </w:r>
      <w:r w:rsidRPr="00985FCF">
        <w:rPr>
          <w:rFonts w:ascii="Times New Roman" w:hAnsi="Times New Roman" w:cs="Times New Roman"/>
          <w:sz w:val="24"/>
          <w:szCs w:val="24"/>
        </w:rPr>
        <w:t xml:space="preserve"> para </w:t>
      </w:r>
      <w:r w:rsidR="007C58AD" w:rsidRPr="007C58AD">
        <w:rPr>
          <w:rFonts w:ascii="Times New Roman" w:hAnsi="Times New Roman" w:cs="Times New Roman"/>
          <w:sz w:val="24"/>
          <w:szCs w:val="24"/>
        </w:rPr>
        <w:t>la realización de</w:t>
      </w:r>
      <w:r w:rsidR="007C58AD">
        <w:rPr>
          <w:rFonts w:ascii="Times New Roman" w:hAnsi="Times New Roman" w:cs="Times New Roman"/>
          <w:sz w:val="24"/>
          <w:szCs w:val="24"/>
        </w:rPr>
        <w:t xml:space="preserve"> </w:t>
      </w:r>
      <w:r w:rsidRPr="00985FCF">
        <w:rPr>
          <w:rFonts w:ascii="Times New Roman" w:hAnsi="Times New Roman" w:cs="Times New Roman"/>
          <w:sz w:val="24"/>
          <w:szCs w:val="24"/>
        </w:rPr>
        <w:t>inventarios forestales</w:t>
      </w:r>
      <w:r w:rsidR="007C58AD">
        <w:rPr>
          <w:rFonts w:ascii="Times New Roman" w:hAnsi="Times New Roman" w:cs="Times New Roman"/>
          <w:sz w:val="24"/>
          <w:szCs w:val="24"/>
        </w:rPr>
        <w:t>.</w:t>
      </w:r>
      <w:r w:rsidR="007C58AD" w:rsidRPr="00985FCF">
        <w:rPr>
          <w:rFonts w:ascii="Times New Roman" w:hAnsi="Times New Roman" w:cs="Times New Roman"/>
          <w:sz w:val="24"/>
          <w:szCs w:val="24"/>
        </w:rPr>
        <w:t xml:space="preserve"> </w:t>
      </w:r>
      <w:r w:rsidR="007C58AD" w:rsidRPr="007C58AD">
        <w:rPr>
          <w:rFonts w:ascii="Times New Roman" w:hAnsi="Times New Roman" w:cs="Times New Roman"/>
          <w:sz w:val="24"/>
          <w:szCs w:val="24"/>
        </w:rPr>
        <w:t>Este proceso se caracterizó por la calibración periódica de los instrumentos y la implementación de un sistema de control de calidad mediante la utilización de réplicas del 15% de las parcelas muestrales.</w:t>
      </w:r>
    </w:p>
    <w:p w14:paraId="67B30C91" w14:textId="35DE6C71" w:rsidR="00985FCF" w:rsidRPr="00985FCF" w:rsidRDefault="00F518F0" w:rsidP="00F518F0">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R</w:t>
      </w:r>
      <w:r w:rsidRPr="00985FCF">
        <w:rPr>
          <w:rFonts w:ascii="Times New Roman" w:hAnsi="Times New Roman" w:cs="Times New Roman"/>
          <w:b/>
          <w:bCs/>
          <w:sz w:val="24"/>
          <w:szCs w:val="24"/>
        </w:rPr>
        <w:t>esultados y discusión</w:t>
      </w:r>
    </w:p>
    <w:p w14:paraId="5AF60591" w14:textId="75EAAE20"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El Índice de Cobertura Forestal (ICF) </w:t>
      </w:r>
      <w:r w:rsidR="00653BBA">
        <w:rPr>
          <w:rFonts w:ascii="Times New Roman" w:hAnsi="Times New Roman" w:cs="Times New Roman"/>
          <w:sz w:val="24"/>
          <w:szCs w:val="24"/>
        </w:rPr>
        <w:t>evidencia</w:t>
      </w:r>
      <w:r w:rsidR="00653BBA"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una evolución temporal bimodal estadísticamente significativa, caracterizada por un crecimiento sostenido hasta </w:t>
      </w:r>
      <w:r w:rsidR="00653BBA">
        <w:rPr>
          <w:rFonts w:ascii="Times New Roman" w:hAnsi="Times New Roman" w:cs="Times New Roman"/>
          <w:sz w:val="24"/>
          <w:szCs w:val="24"/>
        </w:rPr>
        <w:t xml:space="preserve">el año </w:t>
      </w:r>
      <w:r w:rsidRPr="00985FCF">
        <w:rPr>
          <w:rFonts w:ascii="Times New Roman" w:hAnsi="Times New Roman" w:cs="Times New Roman"/>
          <w:sz w:val="24"/>
          <w:szCs w:val="24"/>
        </w:rPr>
        <w:t>2018 (50</w:t>
      </w:r>
      <w:r w:rsidR="00030A13">
        <w:rPr>
          <w:rFonts w:ascii="Times New Roman" w:hAnsi="Times New Roman" w:cs="Times New Roman"/>
          <w:sz w:val="24"/>
          <w:szCs w:val="24"/>
        </w:rPr>
        <w:t>,</w:t>
      </w:r>
      <w:r w:rsidRPr="00985FCF">
        <w:rPr>
          <w:rFonts w:ascii="Times New Roman" w:hAnsi="Times New Roman" w:cs="Times New Roman"/>
          <w:sz w:val="24"/>
          <w:szCs w:val="24"/>
        </w:rPr>
        <w:t>13</w:t>
      </w:r>
      <w:r w:rsidR="00030A13">
        <w:rPr>
          <w:rFonts w:ascii="Times New Roman" w:hAnsi="Times New Roman" w:cs="Times New Roman"/>
          <w:sz w:val="24"/>
          <w:szCs w:val="24"/>
        </w:rPr>
        <w:t xml:space="preserve"> </w:t>
      </w:r>
      <w:r w:rsidRPr="00985FCF">
        <w:rPr>
          <w:rFonts w:ascii="Times New Roman" w:hAnsi="Times New Roman" w:cs="Times New Roman"/>
          <w:sz w:val="24"/>
          <w:szCs w:val="24"/>
        </w:rPr>
        <w:t xml:space="preserve">%) </w:t>
      </w:r>
      <w:r w:rsidR="00653BBA">
        <w:rPr>
          <w:rFonts w:ascii="Times New Roman" w:hAnsi="Times New Roman" w:cs="Times New Roman"/>
          <w:sz w:val="24"/>
          <w:szCs w:val="24"/>
        </w:rPr>
        <w:t xml:space="preserve">y </w:t>
      </w:r>
      <w:r w:rsidRPr="00985FCF">
        <w:rPr>
          <w:rFonts w:ascii="Times New Roman" w:hAnsi="Times New Roman" w:cs="Times New Roman"/>
          <w:sz w:val="24"/>
          <w:szCs w:val="24"/>
        </w:rPr>
        <w:t>una regresión constante hasta 46</w:t>
      </w:r>
      <w:r w:rsidR="00030A13">
        <w:rPr>
          <w:rFonts w:ascii="Times New Roman" w:hAnsi="Times New Roman" w:cs="Times New Roman"/>
          <w:sz w:val="24"/>
          <w:szCs w:val="24"/>
        </w:rPr>
        <w:t>,</w:t>
      </w:r>
      <w:r w:rsidRPr="00985FCF">
        <w:rPr>
          <w:rFonts w:ascii="Times New Roman" w:hAnsi="Times New Roman" w:cs="Times New Roman"/>
          <w:sz w:val="24"/>
          <w:szCs w:val="24"/>
        </w:rPr>
        <w:t>74</w:t>
      </w:r>
      <w:r w:rsidR="00030A13">
        <w:rPr>
          <w:rFonts w:ascii="Times New Roman" w:hAnsi="Times New Roman" w:cs="Times New Roman"/>
          <w:sz w:val="24"/>
          <w:szCs w:val="24"/>
        </w:rPr>
        <w:t xml:space="preserve"> </w:t>
      </w:r>
      <w:r w:rsidRPr="00985FCF">
        <w:rPr>
          <w:rFonts w:ascii="Times New Roman" w:hAnsi="Times New Roman" w:cs="Times New Roman"/>
          <w:sz w:val="24"/>
          <w:szCs w:val="24"/>
        </w:rPr>
        <w:t xml:space="preserve">% en </w:t>
      </w:r>
      <w:r w:rsidR="00653BBA">
        <w:rPr>
          <w:rFonts w:ascii="Times New Roman" w:hAnsi="Times New Roman" w:cs="Times New Roman"/>
          <w:sz w:val="24"/>
          <w:szCs w:val="24"/>
        </w:rPr>
        <w:t xml:space="preserve">el año </w:t>
      </w:r>
      <w:r w:rsidRPr="00985FCF">
        <w:rPr>
          <w:rFonts w:ascii="Times New Roman" w:hAnsi="Times New Roman" w:cs="Times New Roman"/>
          <w:sz w:val="24"/>
          <w:szCs w:val="24"/>
        </w:rPr>
        <w:t>2024 (Figura 1). El análisis de regresión polinómica confirma este patrón no lineal (R² = 0</w:t>
      </w:r>
      <w:r w:rsidR="00030A13">
        <w:rPr>
          <w:rFonts w:ascii="Times New Roman" w:hAnsi="Times New Roman" w:cs="Times New Roman"/>
          <w:sz w:val="24"/>
          <w:szCs w:val="24"/>
        </w:rPr>
        <w:t>,</w:t>
      </w:r>
      <w:r w:rsidRPr="00985FCF">
        <w:rPr>
          <w:rFonts w:ascii="Times New Roman" w:hAnsi="Times New Roman" w:cs="Times New Roman"/>
          <w:sz w:val="24"/>
          <w:szCs w:val="24"/>
        </w:rPr>
        <w:t>89), superior al modelo lineal (R² = 0</w:t>
      </w:r>
      <w:r w:rsidR="00030A13">
        <w:rPr>
          <w:rFonts w:ascii="Times New Roman" w:hAnsi="Times New Roman" w:cs="Times New Roman"/>
          <w:sz w:val="24"/>
          <w:szCs w:val="24"/>
        </w:rPr>
        <w:t>,</w:t>
      </w:r>
      <w:r w:rsidRPr="00985FCF">
        <w:rPr>
          <w:rFonts w:ascii="Times New Roman" w:hAnsi="Times New Roman" w:cs="Times New Roman"/>
          <w:sz w:val="24"/>
          <w:szCs w:val="24"/>
        </w:rPr>
        <w:t xml:space="preserve">01), indicando un punto de inflexión crítico alrededor de 2018. </w:t>
      </w:r>
      <w:r w:rsidR="00653BBA" w:rsidRPr="00653BBA">
        <w:rPr>
          <w:rFonts w:ascii="Times New Roman" w:hAnsi="Times New Roman" w:cs="Times New Roman"/>
          <w:sz w:val="24"/>
          <w:szCs w:val="24"/>
        </w:rPr>
        <w:t>En términos generales</w:t>
      </w:r>
      <w:r w:rsidRPr="00985FCF">
        <w:rPr>
          <w:rFonts w:ascii="Times New Roman" w:hAnsi="Times New Roman" w:cs="Times New Roman"/>
          <w:sz w:val="24"/>
          <w:szCs w:val="24"/>
        </w:rPr>
        <w:t xml:space="preserve">, esta tendencia sugiere que las estrategias de conservación implementadas </w:t>
      </w:r>
      <w:r w:rsidR="00653BBA" w:rsidRPr="00653BBA">
        <w:rPr>
          <w:rFonts w:ascii="Times New Roman" w:hAnsi="Times New Roman" w:cs="Times New Roman"/>
          <w:sz w:val="24"/>
          <w:szCs w:val="24"/>
        </w:rPr>
        <w:t>en una instancia inicial fueron efectivas. Sin embargo, factores subsecuentes, tales como el incremento en la actividad productiva o eventos climáticos, revertieron los avances alcanzados.</w:t>
      </w:r>
      <w:r w:rsidRPr="00985FCF">
        <w:rPr>
          <w:rFonts w:ascii="Times New Roman" w:hAnsi="Times New Roman" w:cs="Times New Roman"/>
          <w:sz w:val="24"/>
          <w:szCs w:val="24"/>
        </w:rPr>
        <w:t>.</w:t>
      </w:r>
    </w:p>
    <w:p w14:paraId="2B408549" w14:textId="1C5C9089"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La disminución de 3</w:t>
      </w:r>
      <w:r w:rsidR="00030A13">
        <w:rPr>
          <w:rFonts w:ascii="Times New Roman" w:hAnsi="Times New Roman" w:cs="Times New Roman"/>
          <w:sz w:val="24"/>
          <w:szCs w:val="24"/>
        </w:rPr>
        <w:t>,</w:t>
      </w:r>
      <w:r w:rsidRPr="00985FCF">
        <w:rPr>
          <w:rFonts w:ascii="Times New Roman" w:hAnsi="Times New Roman" w:cs="Times New Roman"/>
          <w:sz w:val="24"/>
          <w:szCs w:val="24"/>
        </w:rPr>
        <w:t xml:space="preserve">39 puntos porcentuales </w:t>
      </w:r>
      <w:r w:rsidR="00653BBA">
        <w:rPr>
          <w:rFonts w:ascii="Times New Roman" w:hAnsi="Times New Roman" w:cs="Times New Roman"/>
          <w:sz w:val="24"/>
          <w:szCs w:val="24"/>
        </w:rPr>
        <w:t>tras el</w:t>
      </w:r>
      <w:r w:rsidRPr="00985FCF">
        <w:rPr>
          <w:rFonts w:ascii="Times New Roman" w:hAnsi="Times New Roman" w:cs="Times New Roman"/>
          <w:sz w:val="24"/>
          <w:szCs w:val="24"/>
        </w:rPr>
        <w:t xml:space="preserve"> pico máximo </w:t>
      </w:r>
      <w:r w:rsidR="008D7FEB" w:rsidRPr="008D7FEB">
        <w:rPr>
          <w:rFonts w:ascii="Times New Roman" w:hAnsi="Times New Roman" w:cs="Times New Roman"/>
          <w:sz w:val="24"/>
          <w:szCs w:val="24"/>
        </w:rPr>
        <w:t>implica</w:t>
      </w:r>
      <w:r w:rsidRPr="00985FCF">
        <w:rPr>
          <w:rFonts w:ascii="Times New Roman" w:hAnsi="Times New Roman" w:cs="Times New Roman"/>
          <w:sz w:val="24"/>
          <w:szCs w:val="24"/>
        </w:rPr>
        <w:t xml:space="preserve"> una pérdida sustancial de capital natural, </w:t>
      </w:r>
      <w:r w:rsidR="008D7FEB" w:rsidRPr="008D7FEB">
        <w:rPr>
          <w:rFonts w:ascii="Times New Roman" w:hAnsi="Times New Roman" w:cs="Times New Roman"/>
          <w:sz w:val="24"/>
          <w:szCs w:val="24"/>
        </w:rPr>
        <w:t>lo que afecta</w:t>
      </w:r>
      <w:r w:rsidRPr="00985FCF">
        <w:rPr>
          <w:rFonts w:ascii="Times New Roman" w:hAnsi="Times New Roman" w:cs="Times New Roman"/>
          <w:sz w:val="24"/>
          <w:szCs w:val="24"/>
        </w:rPr>
        <w:t xml:space="preserve"> directamente </w:t>
      </w:r>
      <w:r w:rsidR="008D7FEB">
        <w:rPr>
          <w:rFonts w:ascii="Times New Roman" w:hAnsi="Times New Roman" w:cs="Times New Roman"/>
          <w:sz w:val="24"/>
          <w:szCs w:val="24"/>
        </w:rPr>
        <w:t xml:space="preserve">a </w:t>
      </w:r>
      <w:r w:rsidRPr="00985FCF">
        <w:rPr>
          <w:rFonts w:ascii="Times New Roman" w:hAnsi="Times New Roman" w:cs="Times New Roman"/>
          <w:sz w:val="24"/>
          <w:szCs w:val="24"/>
        </w:rPr>
        <w:t xml:space="preserve">los servicios ecosistémicos y </w:t>
      </w:r>
      <w:r w:rsidR="008D7FEB">
        <w:rPr>
          <w:rFonts w:ascii="Times New Roman" w:hAnsi="Times New Roman" w:cs="Times New Roman"/>
          <w:sz w:val="24"/>
          <w:szCs w:val="24"/>
        </w:rPr>
        <w:t xml:space="preserve">a </w:t>
      </w:r>
      <w:r w:rsidRPr="00985FCF">
        <w:rPr>
          <w:rFonts w:ascii="Times New Roman" w:hAnsi="Times New Roman" w:cs="Times New Roman"/>
          <w:sz w:val="24"/>
          <w:szCs w:val="24"/>
        </w:rPr>
        <w:t xml:space="preserve">la biodiversidad. </w:t>
      </w:r>
      <w:r w:rsidR="008D7FEB" w:rsidRPr="008D7FEB">
        <w:rPr>
          <w:rFonts w:ascii="Times New Roman" w:hAnsi="Times New Roman" w:cs="Times New Roman"/>
          <w:sz w:val="24"/>
          <w:szCs w:val="24"/>
        </w:rPr>
        <w:t>El análisis estadístico realizado confirma la existencia de una autocorrelación serial (lag-1 = 0,65), lo que indica una dependencia temporal entre los valores de la serie y valida la persistencia del patrón observado. Esta evolución requiere de manera imperativa intervenciones de manejo forestal sostenible para la recuperación de la cobertura perdida y la garantía de la provisión de servicios ambientales</w:t>
      </w:r>
      <w:r w:rsidRPr="00985FCF">
        <w:rPr>
          <w:rFonts w:ascii="Times New Roman" w:hAnsi="Times New Roman" w:cs="Times New Roman"/>
          <w:sz w:val="24"/>
          <w:szCs w:val="24"/>
        </w:rPr>
        <w:t>.</w:t>
      </w:r>
    </w:p>
    <w:p w14:paraId="654613CA" w14:textId="77777777" w:rsidR="00985FCF" w:rsidRPr="00985FCF" w:rsidRDefault="00985FCF" w:rsidP="006F142B">
      <w:pPr>
        <w:spacing w:after="120" w:line="360" w:lineRule="auto"/>
        <w:jc w:val="center"/>
        <w:rPr>
          <w:rFonts w:ascii="Times New Roman" w:hAnsi="Times New Roman" w:cs="Times New Roman"/>
          <w:sz w:val="24"/>
          <w:szCs w:val="24"/>
        </w:rPr>
      </w:pPr>
      <w:r w:rsidRPr="00985FCF">
        <w:rPr>
          <w:rFonts w:ascii="Times New Roman" w:hAnsi="Times New Roman" w:cs="Times New Roman"/>
          <w:noProof/>
          <w:sz w:val="24"/>
          <w:szCs w:val="24"/>
        </w:rPr>
        <w:lastRenderedPageBreak/>
        <w:drawing>
          <wp:inline distT="0" distB="0" distL="0" distR="0" wp14:anchorId="38EB22DF" wp14:editId="15BE6351">
            <wp:extent cx="5088834" cy="2805038"/>
            <wp:effectExtent l="0" t="0" r="0" b="0"/>
            <wp:docPr id="1" name="Imagen 1"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líneas&#10;&#10;El contenido generado por IA puede ser incorrecto."/>
                    <pic:cNvPicPr/>
                  </pic:nvPicPr>
                  <pic:blipFill rotWithShape="1">
                    <a:blip r:embed="rId22">
                      <a:extLst>
                        <a:ext uri="{28A0092B-C50C-407E-A947-70E740481C1C}">
                          <a14:useLocalDpi xmlns:a14="http://schemas.microsoft.com/office/drawing/2010/main" val="0"/>
                        </a:ext>
                      </a:extLst>
                    </a:blip>
                    <a:srcRect t="8124"/>
                    <a:stretch/>
                  </pic:blipFill>
                  <pic:spPr bwMode="auto">
                    <a:xfrm>
                      <a:off x="0" y="0"/>
                      <a:ext cx="5114344" cy="2819099"/>
                    </a:xfrm>
                    <a:prstGeom prst="rect">
                      <a:avLst/>
                    </a:prstGeom>
                    <a:ln>
                      <a:noFill/>
                    </a:ln>
                    <a:extLst>
                      <a:ext uri="{53640926-AAD7-44D8-BBD7-CCE9431645EC}">
                        <a14:shadowObscured xmlns:a14="http://schemas.microsoft.com/office/drawing/2010/main"/>
                      </a:ext>
                    </a:extLst>
                  </pic:spPr>
                </pic:pic>
              </a:graphicData>
            </a:graphic>
          </wp:inline>
        </w:drawing>
      </w:r>
    </w:p>
    <w:p w14:paraId="4C721728" w14:textId="77777777" w:rsidR="00985FCF" w:rsidRPr="00985FCF" w:rsidRDefault="00985FCF" w:rsidP="0057742B">
      <w:pPr>
        <w:spacing w:after="120" w:line="240" w:lineRule="auto"/>
        <w:jc w:val="center"/>
        <w:rPr>
          <w:rFonts w:ascii="Times New Roman" w:hAnsi="Times New Roman" w:cs="Times New Roman"/>
          <w:sz w:val="24"/>
          <w:szCs w:val="24"/>
        </w:rPr>
      </w:pPr>
      <w:r w:rsidRPr="00985FCF">
        <w:rPr>
          <w:rFonts w:ascii="Times New Roman" w:hAnsi="Times New Roman" w:cs="Times New Roman"/>
          <w:sz w:val="24"/>
          <w:szCs w:val="24"/>
        </w:rPr>
        <w:t>Figura 1. Evolución temporal del Índice de Cobertura Forestal (ICF) durante el período 2013-2024 procesados mediante DeepSeek IA-V3.</w:t>
      </w:r>
    </w:p>
    <w:p w14:paraId="4FEF2D27" w14:textId="04389EFF"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La </w:t>
      </w:r>
      <w:r w:rsidR="00075D44" w:rsidRPr="00075D44">
        <w:rPr>
          <w:rFonts w:ascii="Times New Roman" w:hAnsi="Times New Roman" w:cs="Times New Roman"/>
          <w:sz w:val="24"/>
          <w:szCs w:val="24"/>
        </w:rPr>
        <w:t>hipótesis de la</w:t>
      </w:r>
      <w:r w:rsidR="00075D44">
        <w:rPr>
          <w:rFonts w:ascii="Times New Roman" w:hAnsi="Times New Roman" w:cs="Times New Roman"/>
          <w:sz w:val="24"/>
          <w:szCs w:val="24"/>
        </w:rPr>
        <w:t xml:space="preserve"> </w:t>
      </w:r>
      <w:r w:rsidRPr="00985FCF">
        <w:rPr>
          <w:rFonts w:ascii="Times New Roman" w:hAnsi="Times New Roman" w:cs="Times New Roman"/>
          <w:sz w:val="24"/>
          <w:szCs w:val="24"/>
        </w:rPr>
        <w:t xml:space="preserve">evolución bimodal del Índice de Cobertura Forestal (ICF), con punto de inflexión en 2018, encuentra un sustento en el estudio de Abad et al. (2025) sobre morfodinámica fluvial en la Amazonía peruana. </w:t>
      </w:r>
      <w:r w:rsidR="00075D44">
        <w:rPr>
          <w:rFonts w:ascii="Times New Roman" w:hAnsi="Times New Roman" w:cs="Times New Roman"/>
          <w:sz w:val="24"/>
          <w:szCs w:val="24"/>
        </w:rPr>
        <w:t>El</w:t>
      </w:r>
      <w:r w:rsidR="00075D44"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estudio </w:t>
      </w:r>
      <w:r w:rsidR="00075D44">
        <w:rPr>
          <w:rFonts w:ascii="Times New Roman" w:hAnsi="Times New Roman" w:cs="Times New Roman"/>
          <w:sz w:val="24"/>
          <w:szCs w:val="24"/>
        </w:rPr>
        <w:t xml:space="preserve">mencionado </w:t>
      </w:r>
      <w:r w:rsidRPr="00985FCF">
        <w:rPr>
          <w:rFonts w:ascii="Times New Roman" w:hAnsi="Times New Roman" w:cs="Times New Roman"/>
          <w:sz w:val="24"/>
          <w:szCs w:val="24"/>
        </w:rPr>
        <w:t xml:space="preserve">demuestra que los procesos naturales de erosión-sedimentación generan patrones no lineales en la cobertura vegetal, </w:t>
      </w:r>
      <w:r w:rsidR="00075D44" w:rsidRPr="00075D44">
        <w:rPr>
          <w:rFonts w:ascii="Times New Roman" w:hAnsi="Times New Roman" w:cs="Times New Roman"/>
          <w:sz w:val="24"/>
          <w:szCs w:val="24"/>
        </w:rPr>
        <w:t>lo que corrobora</w:t>
      </w:r>
      <w:r w:rsidRPr="00985FCF">
        <w:rPr>
          <w:rFonts w:ascii="Times New Roman" w:hAnsi="Times New Roman" w:cs="Times New Roman"/>
          <w:sz w:val="24"/>
          <w:szCs w:val="24"/>
        </w:rPr>
        <w:t xml:space="preserve"> la validez estadística del modelo polinómico obtenido para el ICF (R² = 0</w:t>
      </w:r>
      <w:r w:rsidR="00030A13">
        <w:rPr>
          <w:rFonts w:ascii="Times New Roman" w:hAnsi="Times New Roman" w:cs="Times New Roman"/>
          <w:sz w:val="24"/>
          <w:szCs w:val="24"/>
        </w:rPr>
        <w:t>,</w:t>
      </w:r>
      <w:r w:rsidRPr="00985FCF">
        <w:rPr>
          <w:rFonts w:ascii="Times New Roman" w:hAnsi="Times New Roman" w:cs="Times New Roman"/>
          <w:sz w:val="24"/>
          <w:szCs w:val="24"/>
        </w:rPr>
        <w:t xml:space="preserve">89). La convergencia de ambos trabajos sugiere que la regresión </w:t>
      </w:r>
      <w:r w:rsidR="00075D44" w:rsidRPr="00075D44">
        <w:rPr>
          <w:rFonts w:ascii="Times New Roman" w:hAnsi="Times New Roman" w:cs="Times New Roman"/>
          <w:sz w:val="24"/>
          <w:szCs w:val="24"/>
        </w:rPr>
        <w:t>posterior a 2018</w:t>
      </w:r>
      <w:r w:rsidRPr="00985FCF">
        <w:rPr>
          <w:rFonts w:ascii="Times New Roman" w:hAnsi="Times New Roman" w:cs="Times New Roman"/>
          <w:sz w:val="24"/>
          <w:szCs w:val="24"/>
        </w:rPr>
        <w:t xml:space="preserve"> podría estar impulsada por una sinergia entre la dinámica hidrogeomorfológica natural</w:t>
      </w:r>
      <w:r w:rsidR="00075D44">
        <w:rPr>
          <w:rFonts w:ascii="Times New Roman" w:hAnsi="Times New Roman" w:cs="Times New Roman"/>
          <w:sz w:val="24"/>
          <w:szCs w:val="24"/>
        </w:rPr>
        <w:t>,</w:t>
      </w:r>
      <w:r w:rsidRPr="00985FCF">
        <w:rPr>
          <w:rFonts w:ascii="Times New Roman" w:hAnsi="Times New Roman" w:cs="Times New Roman"/>
          <w:sz w:val="24"/>
          <w:szCs w:val="24"/>
        </w:rPr>
        <w:t xml:space="preserve"> documentada por los autores</w:t>
      </w:r>
      <w:r w:rsidR="00075D44">
        <w:rPr>
          <w:rFonts w:ascii="Times New Roman" w:hAnsi="Times New Roman" w:cs="Times New Roman"/>
          <w:sz w:val="24"/>
          <w:szCs w:val="24"/>
        </w:rPr>
        <w:t>,</w:t>
      </w:r>
      <w:r w:rsidRPr="00985FCF">
        <w:rPr>
          <w:rFonts w:ascii="Times New Roman" w:hAnsi="Times New Roman" w:cs="Times New Roman"/>
          <w:sz w:val="24"/>
          <w:szCs w:val="24"/>
        </w:rPr>
        <w:t xml:space="preserve"> y </w:t>
      </w:r>
      <w:r w:rsidR="00075D44">
        <w:rPr>
          <w:rFonts w:ascii="Times New Roman" w:hAnsi="Times New Roman" w:cs="Times New Roman"/>
          <w:sz w:val="24"/>
          <w:szCs w:val="24"/>
        </w:rPr>
        <w:t xml:space="preserve">los </w:t>
      </w:r>
      <w:r w:rsidRPr="00985FCF">
        <w:rPr>
          <w:rFonts w:ascii="Times New Roman" w:hAnsi="Times New Roman" w:cs="Times New Roman"/>
          <w:sz w:val="24"/>
          <w:szCs w:val="24"/>
        </w:rPr>
        <w:t>factores antrópicos regionales.</w:t>
      </w:r>
    </w:p>
    <w:p w14:paraId="25A3FFEB" w14:textId="31924B4F"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No obstante, </w:t>
      </w:r>
      <w:r w:rsidR="00E517C8">
        <w:rPr>
          <w:rFonts w:ascii="Times New Roman" w:hAnsi="Times New Roman" w:cs="Times New Roman"/>
          <w:sz w:val="24"/>
          <w:szCs w:val="24"/>
        </w:rPr>
        <w:t>aunque</w:t>
      </w:r>
      <w:r w:rsidR="00E517C8"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ambos resultados </w:t>
      </w:r>
      <w:r w:rsidR="00E517C8" w:rsidRPr="00E517C8">
        <w:rPr>
          <w:rFonts w:ascii="Times New Roman" w:hAnsi="Times New Roman" w:cs="Times New Roman"/>
          <w:sz w:val="24"/>
          <w:szCs w:val="24"/>
        </w:rPr>
        <w:t>ponen de manifiesto las diferencias</w:t>
      </w:r>
      <w:r w:rsidRPr="00985FCF">
        <w:rPr>
          <w:rFonts w:ascii="Times New Roman" w:hAnsi="Times New Roman" w:cs="Times New Roman"/>
          <w:sz w:val="24"/>
          <w:szCs w:val="24"/>
        </w:rPr>
        <w:t xml:space="preserve"> naturales a escala local, los resultados del ICF revelan </w:t>
      </w:r>
      <w:r w:rsidR="00E517C8" w:rsidRPr="00E517C8">
        <w:rPr>
          <w:rFonts w:ascii="Times New Roman" w:hAnsi="Times New Roman" w:cs="Times New Roman"/>
          <w:sz w:val="24"/>
          <w:szCs w:val="24"/>
        </w:rPr>
        <w:t>cómo estos procesos se extienden</w:t>
      </w:r>
      <w:r w:rsidRPr="00985FCF">
        <w:rPr>
          <w:rFonts w:ascii="Times New Roman" w:hAnsi="Times New Roman" w:cs="Times New Roman"/>
          <w:sz w:val="24"/>
          <w:szCs w:val="24"/>
        </w:rPr>
        <w:t xml:space="preserve"> a nivel regional</w:t>
      </w:r>
      <w:r w:rsidR="00E517C8">
        <w:rPr>
          <w:rFonts w:ascii="Times New Roman" w:hAnsi="Times New Roman" w:cs="Times New Roman"/>
          <w:sz w:val="24"/>
          <w:szCs w:val="24"/>
        </w:rPr>
        <w:t>,</w:t>
      </w:r>
      <w:r w:rsidRPr="00985FCF">
        <w:rPr>
          <w:rFonts w:ascii="Times New Roman" w:hAnsi="Times New Roman" w:cs="Times New Roman"/>
          <w:sz w:val="24"/>
          <w:szCs w:val="24"/>
        </w:rPr>
        <w:t xml:space="preserve"> </w:t>
      </w:r>
      <w:r w:rsidR="00E517C8">
        <w:rPr>
          <w:rFonts w:ascii="Times New Roman" w:hAnsi="Times New Roman" w:cs="Times New Roman"/>
          <w:sz w:val="24"/>
          <w:szCs w:val="24"/>
        </w:rPr>
        <w:t>potenciados</w:t>
      </w:r>
      <w:r w:rsidR="00E517C8"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por </w:t>
      </w:r>
      <w:r w:rsidR="00E517C8">
        <w:rPr>
          <w:rFonts w:ascii="Times New Roman" w:hAnsi="Times New Roman" w:cs="Times New Roman"/>
          <w:sz w:val="24"/>
          <w:szCs w:val="24"/>
        </w:rPr>
        <w:t xml:space="preserve">las </w:t>
      </w:r>
      <w:r w:rsidRPr="00985FCF">
        <w:rPr>
          <w:rFonts w:ascii="Times New Roman" w:hAnsi="Times New Roman" w:cs="Times New Roman"/>
          <w:sz w:val="24"/>
          <w:szCs w:val="24"/>
        </w:rPr>
        <w:t xml:space="preserve">presiones antropogénicas. </w:t>
      </w:r>
      <w:r w:rsidR="00900805" w:rsidRPr="00900805">
        <w:rPr>
          <w:rFonts w:ascii="Times New Roman" w:hAnsi="Times New Roman" w:cs="Times New Roman"/>
          <w:sz w:val="24"/>
          <w:szCs w:val="24"/>
        </w:rPr>
        <w:t>Esta complementariedad pone de manifiesto la importancia de integrar la gestión sostenible de las cuencas con las políticas de uso del suelo para mitigar la pérdida de capital natural y garantizar la provisión de servicios ecosistémicos.</w:t>
      </w:r>
      <w:r w:rsidRPr="00985FCF">
        <w:rPr>
          <w:rFonts w:ascii="Times New Roman" w:hAnsi="Times New Roman" w:cs="Times New Roman"/>
          <w:sz w:val="24"/>
          <w:szCs w:val="24"/>
        </w:rPr>
        <w:t>.</w:t>
      </w:r>
    </w:p>
    <w:p w14:paraId="1F9DB08A" w14:textId="637DE6F5"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El estudio de Torres et al. (2025) identifica la necesidad de un sistema integral de incentivos forestales que </w:t>
      </w:r>
      <w:r w:rsidR="00900805" w:rsidRPr="00900805">
        <w:rPr>
          <w:rFonts w:ascii="Times New Roman" w:hAnsi="Times New Roman" w:cs="Times New Roman"/>
          <w:sz w:val="24"/>
          <w:szCs w:val="24"/>
        </w:rPr>
        <w:t>vaya más allá de</w:t>
      </w:r>
      <w:r w:rsidRPr="00985FCF">
        <w:rPr>
          <w:rFonts w:ascii="Times New Roman" w:hAnsi="Times New Roman" w:cs="Times New Roman"/>
          <w:sz w:val="24"/>
          <w:szCs w:val="24"/>
        </w:rPr>
        <w:t xml:space="preserve"> los enfoques económicos unidimensionales</w:t>
      </w:r>
      <w:r w:rsidR="00900805">
        <w:rPr>
          <w:rFonts w:ascii="Times New Roman" w:hAnsi="Times New Roman" w:cs="Times New Roman"/>
          <w:sz w:val="24"/>
          <w:szCs w:val="24"/>
        </w:rPr>
        <w:t>y propone</w:t>
      </w:r>
      <w:r w:rsidRPr="00985FCF">
        <w:rPr>
          <w:rFonts w:ascii="Times New Roman" w:hAnsi="Times New Roman" w:cs="Times New Roman"/>
          <w:sz w:val="24"/>
          <w:szCs w:val="24"/>
        </w:rPr>
        <w:t xml:space="preserve"> un portafolio multisectorial que integra componentes fiscales, técnicos y educativo-científicos para construir una cultura forestal sostenible. Estos </w:t>
      </w:r>
      <w:r w:rsidR="00900805">
        <w:rPr>
          <w:rFonts w:ascii="Times New Roman" w:hAnsi="Times New Roman" w:cs="Times New Roman"/>
          <w:sz w:val="24"/>
          <w:szCs w:val="24"/>
        </w:rPr>
        <w:t>resultados</w:t>
      </w:r>
      <w:r w:rsidR="00900805"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se complementan con los </w:t>
      </w:r>
      <w:r w:rsidR="00900805">
        <w:rPr>
          <w:rFonts w:ascii="Times New Roman" w:hAnsi="Times New Roman" w:cs="Times New Roman"/>
          <w:sz w:val="24"/>
          <w:szCs w:val="24"/>
        </w:rPr>
        <w:t>datos</w:t>
      </w:r>
      <w:r w:rsidR="00900805"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cuantitativos que </w:t>
      </w:r>
      <w:r w:rsidRPr="00985FCF">
        <w:rPr>
          <w:rFonts w:ascii="Times New Roman" w:hAnsi="Times New Roman" w:cs="Times New Roman"/>
          <w:sz w:val="24"/>
          <w:szCs w:val="24"/>
        </w:rPr>
        <w:lastRenderedPageBreak/>
        <w:t xml:space="preserve">demuestran la regresión </w:t>
      </w:r>
      <w:r w:rsidR="00900805">
        <w:rPr>
          <w:rFonts w:ascii="Times New Roman" w:hAnsi="Times New Roman" w:cs="Times New Roman"/>
          <w:sz w:val="24"/>
          <w:szCs w:val="24"/>
        </w:rPr>
        <w:t xml:space="preserve">tras </w:t>
      </w:r>
      <w:r w:rsidRPr="00985FCF">
        <w:rPr>
          <w:rFonts w:ascii="Times New Roman" w:hAnsi="Times New Roman" w:cs="Times New Roman"/>
          <w:sz w:val="24"/>
          <w:szCs w:val="24"/>
        </w:rPr>
        <w:t>2018</w:t>
      </w:r>
      <w:r w:rsidR="00900805">
        <w:rPr>
          <w:rFonts w:ascii="Times New Roman" w:hAnsi="Times New Roman" w:cs="Times New Roman"/>
          <w:sz w:val="24"/>
          <w:szCs w:val="24"/>
        </w:rPr>
        <w:t>,</w:t>
      </w:r>
      <w:r w:rsidRPr="00985FCF">
        <w:rPr>
          <w:rFonts w:ascii="Times New Roman" w:hAnsi="Times New Roman" w:cs="Times New Roman"/>
          <w:sz w:val="24"/>
          <w:szCs w:val="24"/>
        </w:rPr>
        <w:t xml:space="preserve"> </w:t>
      </w:r>
      <w:r w:rsidR="00900805">
        <w:rPr>
          <w:rFonts w:ascii="Times New Roman" w:hAnsi="Times New Roman" w:cs="Times New Roman"/>
          <w:sz w:val="24"/>
          <w:szCs w:val="24"/>
        </w:rPr>
        <w:t>lo que</w:t>
      </w:r>
      <w:r w:rsidRPr="00985FCF">
        <w:rPr>
          <w:rFonts w:ascii="Times New Roman" w:hAnsi="Times New Roman" w:cs="Times New Roman"/>
          <w:sz w:val="24"/>
          <w:szCs w:val="24"/>
        </w:rPr>
        <w:t xml:space="preserve"> evidencia la insuficiencia de las estrategias actuales frente a </w:t>
      </w:r>
      <w:r w:rsidR="00900805">
        <w:rPr>
          <w:rFonts w:ascii="Times New Roman" w:hAnsi="Times New Roman" w:cs="Times New Roman"/>
          <w:sz w:val="24"/>
          <w:szCs w:val="24"/>
        </w:rPr>
        <w:t xml:space="preserve">las </w:t>
      </w:r>
      <w:r w:rsidRPr="00985FCF">
        <w:rPr>
          <w:rFonts w:ascii="Times New Roman" w:hAnsi="Times New Roman" w:cs="Times New Roman"/>
          <w:sz w:val="24"/>
          <w:szCs w:val="24"/>
        </w:rPr>
        <w:t>presiones productivas y climáticas externas.</w:t>
      </w:r>
    </w:p>
    <w:p w14:paraId="7F8A739F" w14:textId="0E222D1E"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La convergencia entre ambos estudios subraya que la efectividad de las políticas forestales depende de su capacidad para abordar simultáneamente factores socioeconómicos, ambientales y de gobernanza. </w:t>
      </w:r>
      <w:r w:rsidR="00900805">
        <w:rPr>
          <w:rFonts w:ascii="Times New Roman" w:hAnsi="Times New Roman" w:cs="Times New Roman"/>
          <w:sz w:val="24"/>
          <w:szCs w:val="24"/>
        </w:rPr>
        <w:t>El</w:t>
      </w:r>
      <w:r w:rsidRPr="00985FCF">
        <w:rPr>
          <w:rFonts w:ascii="Times New Roman" w:hAnsi="Times New Roman" w:cs="Times New Roman"/>
          <w:sz w:val="24"/>
          <w:szCs w:val="24"/>
        </w:rPr>
        <w:t xml:space="preserve"> análisis temporal del ICF </w:t>
      </w:r>
      <w:r w:rsidR="00900805">
        <w:rPr>
          <w:rFonts w:ascii="Times New Roman" w:hAnsi="Times New Roman" w:cs="Times New Roman"/>
          <w:sz w:val="24"/>
          <w:szCs w:val="24"/>
        </w:rPr>
        <w:t>proporciona</w:t>
      </w:r>
      <w:r w:rsidR="00900805"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evidencia empírica sobre los puntos de </w:t>
      </w:r>
      <w:r w:rsidR="00900805">
        <w:rPr>
          <w:rFonts w:ascii="Times New Roman" w:hAnsi="Times New Roman" w:cs="Times New Roman"/>
          <w:sz w:val="24"/>
          <w:szCs w:val="24"/>
        </w:rPr>
        <w:t>inflexión</w:t>
      </w:r>
      <w:r w:rsidR="00900805"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en la efectividad de las intervenciones, </w:t>
      </w:r>
      <w:r w:rsidR="00900805">
        <w:rPr>
          <w:rFonts w:ascii="Times New Roman" w:hAnsi="Times New Roman" w:cs="Times New Roman"/>
          <w:sz w:val="24"/>
          <w:szCs w:val="24"/>
        </w:rPr>
        <w:t xml:space="preserve">mientras que </w:t>
      </w:r>
      <w:r w:rsidRPr="00985FCF">
        <w:rPr>
          <w:rFonts w:ascii="Times New Roman" w:hAnsi="Times New Roman" w:cs="Times New Roman"/>
          <w:sz w:val="24"/>
          <w:szCs w:val="24"/>
        </w:rPr>
        <w:t xml:space="preserve">la propuesta estratégica ecuatoriana ofrece un marco operativo para </w:t>
      </w:r>
      <w:r w:rsidR="00900805">
        <w:rPr>
          <w:rFonts w:ascii="Times New Roman" w:hAnsi="Times New Roman" w:cs="Times New Roman"/>
          <w:sz w:val="24"/>
          <w:szCs w:val="24"/>
        </w:rPr>
        <w:t>la creación de</w:t>
      </w:r>
      <w:r w:rsidR="00900805" w:rsidRPr="00985FCF">
        <w:rPr>
          <w:rFonts w:ascii="Times New Roman" w:hAnsi="Times New Roman" w:cs="Times New Roman"/>
          <w:sz w:val="24"/>
          <w:szCs w:val="24"/>
        </w:rPr>
        <w:t xml:space="preserve"> </w:t>
      </w:r>
      <w:r w:rsidRPr="00985FCF">
        <w:rPr>
          <w:rFonts w:ascii="Times New Roman" w:hAnsi="Times New Roman" w:cs="Times New Roman"/>
          <w:sz w:val="24"/>
          <w:szCs w:val="24"/>
        </w:rPr>
        <w:t>incentivos adaptativos y multidimensionales. La integración de ambos enfoques permitiría desarrollar estrategias robustas que combinen el monitoreo continuo de indicadores con instrumentos de política pública flexibles, orientados a contrarrestar las causas subyacentes de la pérdida de cobertura forestal y promover la resiliencia socioecológica.</w:t>
      </w:r>
    </w:p>
    <w:p w14:paraId="7D82A4A0" w14:textId="24BE8A65"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El </w:t>
      </w:r>
      <w:bookmarkStart w:id="1" w:name="_Hlk208782938"/>
      <w:r w:rsidRPr="00985FCF">
        <w:rPr>
          <w:rFonts w:ascii="Times New Roman" w:hAnsi="Times New Roman" w:cs="Times New Roman"/>
          <w:sz w:val="24"/>
          <w:szCs w:val="24"/>
        </w:rPr>
        <w:t xml:space="preserve">Índice de Cambio de Cobertura Forestal (ICCF) </w:t>
      </w:r>
      <w:bookmarkEnd w:id="1"/>
      <w:r w:rsidRPr="00985FCF">
        <w:rPr>
          <w:rFonts w:ascii="Times New Roman" w:hAnsi="Times New Roman" w:cs="Times New Roman"/>
          <w:sz w:val="24"/>
          <w:szCs w:val="24"/>
        </w:rPr>
        <w:t>evidencia una transición estadísticamente significativa de ganancia a pérdida neta de cobertura con una tendencia lineal decreciente (R² = 0</w:t>
      </w:r>
      <w:r w:rsidR="00030A13">
        <w:rPr>
          <w:rFonts w:ascii="Times New Roman" w:hAnsi="Times New Roman" w:cs="Times New Roman"/>
          <w:sz w:val="24"/>
          <w:szCs w:val="24"/>
        </w:rPr>
        <w:t>,</w:t>
      </w:r>
      <w:r w:rsidRPr="00985FCF">
        <w:rPr>
          <w:rFonts w:ascii="Times New Roman" w:hAnsi="Times New Roman" w:cs="Times New Roman"/>
          <w:sz w:val="24"/>
          <w:szCs w:val="24"/>
        </w:rPr>
        <w:t>45; p &lt; 0</w:t>
      </w:r>
      <w:r w:rsidR="00030A13">
        <w:rPr>
          <w:rFonts w:ascii="Times New Roman" w:hAnsi="Times New Roman" w:cs="Times New Roman"/>
          <w:sz w:val="24"/>
          <w:szCs w:val="24"/>
        </w:rPr>
        <w:t>,</w:t>
      </w:r>
      <w:r w:rsidRPr="00985FCF">
        <w:rPr>
          <w:rFonts w:ascii="Times New Roman" w:hAnsi="Times New Roman" w:cs="Times New Roman"/>
          <w:sz w:val="24"/>
          <w:szCs w:val="24"/>
        </w:rPr>
        <w:t xml:space="preserve">05). Los valores positivos (2013-2018) reflejan esfuerzos de conservación exitosos, alcanzando un máximo </w:t>
      </w:r>
      <w:r w:rsidR="007536FA">
        <w:rPr>
          <w:rFonts w:ascii="Times New Roman" w:hAnsi="Times New Roman" w:cs="Times New Roman"/>
          <w:sz w:val="24"/>
          <w:szCs w:val="24"/>
        </w:rPr>
        <w:t>del</w:t>
      </w:r>
      <w:r w:rsidR="007536FA" w:rsidRPr="00985FCF">
        <w:rPr>
          <w:rFonts w:ascii="Times New Roman" w:hAnsi="Times New Roman" w:cs="Times New Roman"/>
          <w:sz w:val="24"/>
          <w:szCs w:val="24"/>
        </w:rPr>
        <w:t xml:space="preserve"> </w:t>
      </w:r>
      <w:r w:rsidRPr="00985FCF">
        <w:rPr>
          <w:rFonts w:ascii="Times New Roman" w:hAnsi="Times New Roman" w:cs="Times New Roman"/>
          <w:sz w:val="24"/>
          <w:szCs w:val="24"/>
        </w:rPr>
        <w:t>2</w:t>
      </w:r>
      <w:r w:rsidR="00030A13">
        <w:rPr>
          <w:rFonts w:ascii="Times New Roman" w:hAnsi="Times New Roman" w:cs="Times New Roman"/>
          <w:sz w:val="24"/>
          <w:szCs w:val="24"/>
        </w:rPr>
        <w:t>,</w:t>
      </w:r>
      <w:r w:rsidRPr="00985FCF">
        <w:rPr>
          <w:rFonts w:ascii="Times New Roman" w:hAnsi="Times New Roman" w:cs="Times New Roman"/>
          <w:sz w:val="24"/>
          <w:szCs w:val="24"/>
        </w:rPr>
        <w:t>42</w:t>
      </w:r>
      <w:r w:rsidR="00030A13">
        <w:rPr>
          <w:rFonts w:ascii="Times New Roman" w:hAnsi="Times New Roman" w:cs="Times New Roman"/>
          <w:sz w:val="24"/>
          <w:szCs w:val="24"/>
        </w:rPr>
        <w:t xml:space="preserve"> </w:t>
      </w:r>
      <w:r w:rsidRPr="00985FCF">
        <w:rPr>
          <w:rFonts w:ascii="Times New Roman" w:hAnsi="Times New Roman" w:cs="Times New Roman"/>
          <w:sz w:val="24"/>
          <w:szCs w:val="24"/>
        </w:rPr>
        <w:t>% en 2014, mientras que los valores negativos (2019-2023) indican una regresión forestal progresiva, con un mínimo de -0</w:t>
      </w:r>
      <w:r w:rsidR="00030A13">
        <w:rPr>
          <w:rFonts w:ascii="Times New Roman" w:hAnsi="Times New Roman" w:cs="Times New Roman"/>
          <w:sz w:val="24"/>
          <w:szCs w:val="24"/>
        </w:rPr>
        <w:t>,</w:t>
      </w:r>
      <w:r w:rsidRPr="00985FCF">
        <w:rPr>
          <w:rFonts w:ascii="Times New Roman" w:hAnsi="Times New Roman" w:cs="Times New Roman"/>
          <w:sz w:val="24"/>
          <w:szCs w:val="24"/>
        </w:rPr>
        <w:t>31</w:t>
      </w:r>
      <w:r w:rsidR="00030A13">
        <w:rPr>
          <w:rFonts w:ascii="Times New Roman" w:hAnsi="Times New Roman" w:cs="Times New Roman"/>
          <w:sz w:val="24"/>
          <w:szCs w:val="24"/>
        </w:rPr>
        <w:t xml:space="preserve"> </w:t>
      </w:r>
      <w:r w:rsidRPr="00985FCF">
        <w:rPr>
          <w:rFonts w:ascii="Times New Roman" w:hAnsi="Times New Roman" w:cs="Times New Roman"/>
          <w:sz w:val="24"/>
          <w:szCs w:val="24"/>
        </w:rPr>
        <w:t xml:space="preserve">% en 2023. </w:t>
      </w:r>
      <w:r w:rsidR="007536FA">
        <w:rPr>
          <w:rFonts w:ascii="Times New Roman" w:hAnsi="Times New Roman" w:cs="Times New Roman"/>
          <w:sz w:val="24"/>
          <w:szCs w:val="24"/>
        </w:rPr>
        <w:t>En términos práctivos</w:t>
      </w:r>
      <w:r w:rsidRPr="00985FCF">
        <w:rPr>
          <w:rFonts w:ascii="Times New Roman" w:hAnsi="Times New Roman" w:cs="Times New Roman"/>
          <w:sz w:val="24"/>
          <w:szCs w:val="24"/>
        </w:rPr>
        <w:t xml:space="preserve">, </w:t>
      </w:r>
      <w:r w:rsidR="007536FA">
        <w:rPr>
          <w:rFonts w:ascii="Times New Roman" w:hAnsi="Times New Roman" w:cs="Times New Roman"/>
          <w:sz w:val="24"/>
          <w:szCs w:val="24"/>
        </w:rPr>
        <w:t>la</w:t>
      </w:r>
      <w:r w:rsidR="007536FA"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inversión de tendencia sugiere que los factores de presión (actividad productiva, eventos climáticos) </w:t>
      </w:r>
      <w:r w:rsidR="007536FA">
        <w:rPr>
          <w:rFonts w:ascii="Times New Roman" w:hAnsi="Times New Roman" w:cs="Times New Roman"/>
          <w:sz w:val="24"/>
          <w:szCs w:val="24"/>
        </w:rPr>
        <w:t>excedieron</w:t>
      </w:r>
      <w:r w:rsidR="007536FA" w:rsidRPr="00985FCF">
        <w:rPr>
          <w:rFonts w:ascii="Times New Roman" w:hAnsi="Times New Roman" w:cs="Times New Roman"/>
          <w:sz w:val="24"/>
          <w:szCs w:val="24"/>
        </w:rPr>
        <w:t xml:space="preserve"> </w:t>
      </w:r>
      <w:r w:rsidRPr="00985FCF">
        <w:rPr>
          <w:rFonts w:ascii="Times New Roman" w:hAnsi="Times New Roman" w:cs="Times New Roman"/>
          <w:sz w:val="24"/>
          <w:szCs w:val="24"/>
        </w:rPr>
        <w:t>la capacidad de resiliencia del ecosistema.</w:t>
      </w:r>
    </w:p>
    <w:p w14:paraId="17F296B9" w14:textId="23CE8CE7"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La autocorrelación significativa (lag-1 = 0</w:t>
      </w:r>
      <w:r w:rsidR="00030A13">
        <w:rPr>
          <w:rFonts w:ascii="Times New Roman" w:hAnsi="Times New Roman" w:cs="Times New Roman"/>
          <w:sz w:val="24"/>
          <w:szCs w:val="24"/>
        </w:rPr>
        <w:t>,</w:t>
      </w:r>
      <w:r w:rsidRPr="00985FCF">
        <w:rPr>
          <w:rFonts w:ascii="Times New Roman" w:hAnsi="Times New Roman" w:cs="Times New Roman"/>
          <w:sz w:val="24"/>
          <w:szCs w:val="24"/>
        </w:rPr>
        <w:t xml:space="preserve">65) confirma que la dinámica anual depende críticamente de las condiciones del año anterior, exacerbando la tendencia negativa. </w:t>
      </w:r>
      <w:r w:rsidR="007536FA" w:rsidRPr="007536FA">
        <w:rPr>
          <w:rFonts w:ascii="Times New Roman" w:hAnsi="Times New Roman" w:cs="Times New Roman"/>
          <w:sz w:val="24"/>
          <w:szCs w:val="24"/>
        </w:rPr>
        <w:t>Desde una perspectiva estadística</w:t>
      </w:r>
      <w:r w:rsidRPr="00985FCF">
        <w:rPr>
          <w:rFonts w:ascii="Times New Roman" w:hAnsi="Times New Roman" w:cs="Times New Roman"/>
          <w:sz w:val="24"/>
          <w:szCs w:val="24"/>
        </w:rPr>
        <w:t xml:space="preserve">, el cruce del umbral cero en 2019 </w:t>
      </w:r>
      <w:r w:rsidR="007536FA">
        <w:rPr>
          <w:rFonts w:ascii="Times New Roman" w:hAnsi="Times New Roman" w:cs="Times New Roman"/>
          <w:sz w:val="24"/>
          <w:szCs w:val="24"/>
        </w:rPr>
        <w:t>representa</w:t>
      </w:r>
      <w:r w:rsidR="007536FA"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un punto de </w:t>
      </w:r>
      <w:r w:rsidR="005A6F8B">
        <w:rPr>
          <w:rFonts w:ascii="Times New Roman" w:hAnsi="Times New Roman" w:cs="Times New Roman"/>
          <w:sz w:val="24"/>
          <w:szCs w:val="24"/>
        </w:rPr>
        <w:t>inflexión</w:t>
      </w:r>
      <w:r w:rsidRPr="00985FCF">
        <w:rPr>
          <w:rFonts w:ascii="Times New Roman" w:hAnsi="Times New Roman" w:cs="Times New Roman"/>
          <w:sz w:val="24"/>
          <w:szCs w:val="24"/>
        </w:rPr>
        <w:t xml:space="preserve"> que requiere intervenciones inmediatas. Esta reversión ecológica </w:t>
      </w:r>
      <w:r w:rsidR="005A6F8B">
        <w:rPr>
          <w:rFonts w:ascii="Times New Roman" w:hAnsi="Times New Roman" w:cs="Times New Roman"/>
          <w:sz w:val="24"/>
          <w:szCs w:val="24"/>
        </w:rPr>
        <w:t>requiere</w:t>
      </w:r>
      <w:r w:rsidR="005A6F8B" w:rsidRPr="00985FCF">
        <w:rPr>
          <w:rFonts w:ascii="Times New Roman" w:hAnsi="Times New Roman" w:cs="Times New Roman"/>
          <w:sz w:val="24"/>
          <w:szCs w:val="24"/>
        </w:rPr>
        <w:t xml:space="preserve"> </w:t>
      </w:r>
      <w:r w:rsidRPr="00985FCF">
        <w:rPr>
          <w:rFonts w:ascii="Times New Roman" w:hAnsi="Times New Roman" w:cs="Times New Roman"/>
          <w:sz w:val="24"/>
          <w:szCs w:val="24"/>
        </w:rPr>
        <w:t>ajustes en las estrategias de manejo para restaurar el balance positivo entre aprovechamiento y conservación.</w:t>
      </w:r>
    </w:p>
    <w:p w14:paraId="508CEFC7" w14:textId="77777777" w:rsidR="00985FCF" w:rsidRPr="00985FCF" w:rsidRDefault="00985FCF" w:rsidP="006F142B">
      <w:pPr>
        <w:spacing w:after="120" w:line="360" w:lineRule="auto"/>
        <w:jc w:val="center"/>
        <w:rPr>
          <w:rFonts w:ascii="Times New Roman" w:hAnsi="Times New Roman" w:cs="Times New Roman"/>
          <w:sz w:val="24"/>
          <w:szCs w:val="24"/>
        </w:rPr>
      </w:pPr>
      <w:r w:rsidRPr="00985FCF">
        <w:rPr>
          <w:rFonts w:ascii="Times New Roman" w:hAnsi="Times New Roman" w:cs="Times New Roman"/>
          <w:noProof/>
          <w:sz w:val="24"/>
          <w:szCs w:val="24"/>
        </w:rPr>
        <w:lastRenderedPageBreak/>
        <w:drawing>
          <wp:inline distT="0" distB="0" distL="0" distR="0" wp14:anchorId="7D172208" wp14:editId="43F4DA6A">
            <wp:extent cx="5400040" cy="2961005"/>
            <wp:effectExtent l="0" t="0" r="0" b="0"/>
            <wp:docPr id="6" name="Imagen 6" descr="Gráfico, Histo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Gráfico, Histograma&#10;&#10;El contenido generado por IA puede ser incorrecto."/>
                    <pic:cNvPicPr/>
                  </pic:nvPicPr>
                  <pic:blipFill rotWithShape="1">
                    <a:blip r:embed="rId23">
                      <a:extLst>
                        <a:ext uri="{28A0092B-C50C-407E-A947-70E740481C1C}">
                          <a14:useLocalDpi xmlns:a14="http://schemas.microsoft.com/office/drawing/2010/main" val="0"/>
                        </a:ext>
                      </a:extLst>
                    </a:blip>
                    <a:srcRect t="8590"/>
                    <a:stretch/>
                  </pic:blipFill>
                  <pic:spPr bwMode="auto">
                    <a:xfrm>
                      <a:off x="0" y="0"/>
                      <a:ext cx="5400040" cy="2961005"/>
                    </a:xfrm>
                    <a:prstGeom prst="rect">
                      <a:avLst/>
                    </a:prstGeom>
                    <a:ln>
                      <a:noFill/>
                    </a:ln>
                    <a:extLst>
                      <a:ext uri="{53640926-AAD7-44D8-BBD7-CCE9431645EC}">
                        <a14:shadowObscured xmlns:a14="http://schemas.microsoft.com/office/drawing/2010/main"/>
                      </a:ext>
                    </a:extLst>
                  </pic:spPr>
                </pic:pic>
              </a:graphicData>
            </a:graphic>
          </wp:inline>
        </w:drawing>
      </w:r>
    </w:p>
    <w:p w14:paraId="49D78474" w14:textId="77777777" w:rsidR="00985FCF" w:rsidRPr="00985FCF" w:rsidRDefault="00985FCF" w:rsidP="0057742B">
      <w:pPr>
        <w:spacing w:after="120" w:line="240" w:lineRule="auto"/>
        <w:jc w:val="center"/>
        <w:rPr>
          <w:rFonts w:ascii="Times New Roman" w:hAnsi="Times New Roman" w:cs="Times New Roman"/>
          <w:sz w:val="24"/>
          <w:szCs w:val="24"/>
        </w:rPr>
      </w:pPr>
      <w:r w:rsidRPr="00985FCF">
        <w:rPr>
          <w:rFonts w:ascii="Times New Roman" w:hAnsi="Times New Roman" w:cs="Times New Roman"/>
          <w:sz w:val="24"/>
          <w:szCs w:val="24"/>
        </w:rPr>
        <w:t>Figura 2. Evolución temporal del Índice de Cambio de Cobertura Forestal (ICCF) durante el período 2013-2024 procesados mediante DeepSeek IA-V3.</w:t>
      </w:r>
    </w:p>
    <w:p w14:paraId="6C0123D7" w14:textId="5F1B802F"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El cambio de cobertura forestal (ICCF), </w:t>
      </w:r>
      <w:r w:rsidR="009E0383">
        <w:rPr>
          <w:rFonts w:ascii="Times New Roman" w:hAnsi="Times New Roman" w:cs="Times New Roman"/>
          <w:sz w:val="24"/>
          <w:szCs w:val="24"/>
        </w:rPr>
        <w:t>caracterizado</w:t>
      </w:r>
      <w:r w:rsidR="009E0383" w:rsidRPr="00985FCF">
        <w:rPr>
          <w:rFonts w:ascii="Times New Roman" w:hAnsi="Times New Roman" w:cs="Times New Roman"/>
          <w:sz w:val="24"/>
          <w:szCs w:val="24"/>
        </w:rPr>
        <w:t xml:space="preserve"> </w:t>
      </w:r>
      <w:r w:rsidRPr="00985FCF">
        <w:rPr>
          <w:rFonts w:ascii="Times New Roman" w:hAnsi="Times New Roman" w:cs="Times New Roman"/>
          <w:sz w:val="24"/>
          <w:szCs w:val="24"/>
        </w:rPr>
        <w:t>por una tendencia lineal decreciente (R² = 0</w:t>
      </w:r>
      <w:r w:rsidR="00030A13">
        <w:rPr>
          <w:rFonts w:ascii="Times New Roman" w:hAnsi="Times New Roman" w:cs="Times New Roman"/>
          <w:sz w:val="24"/>
          <w:szCs w:val="24"/>
        </w:rPr>
        <w:t>,</w:t>
      </w:r>
      <w:r w:rsidRPr="00985FCF">
        <w:rPr>
          <w:rFonts w:ascii="Times New Roman" w:hAnsi="Times New Roman" w:cs="Times New Roman"/>
          <w:sz w:val="24"/>
          <w:szCs w:val="24"/>
        </w:rPr>
        <w:t>45; p &lt; 0</w:t>
      </w:r>
      <w:r w:rsidR="00030A13">
        <w:rPr>
          <w:rFonts w:ascii="Times New Roman" w:hAnsi="Times New Roman" w:cs="Times New Roman"/>
          <w:sz w:val="24"/>
          <w:szCs w:val="24"/>
        </w:rPr>
        <w:t>,</w:t>
      </w:r>
      <w:r w:rsidRPr="00985FCF">
        <w:rPr>
          <w:rFonts w:ascii="Times New Roman" w:hAnsi="Times New Roman" w:cs="Times New Roman"/>
          <w:sz w:val="24"/>
          <w:szCs w:val="24"/>
        </w:rPr>
        <w:t>05) y autocorrelación serial significativa (lag-1 = 0</w:t>
      </w:r>
      <w:r w:rsidR="00030A13">
        <w:rPr>
          <w:rFonts w:ascii="Times New Roman" w:hAnsi="Times New Roman" w:cs="Times New Roman"/>
          <w:sz w:val="24"/>
          <w:szCs w:val="24"/>
        </w:rPr>
        <w:t>,</w:t>
      </w:r>
      <w:r w:rsidRPr="00985FCF">
        <w:rPr>
          <w:rFonts w:ascii="Times New Roman" w:hAnsi="Times New Roman" w:cs="Times New Roman"/>
          <w:sz w:val="24"/>
          <w:szCs w:val="24"/>
        </w:rPr>
        <w:t xml:space="preserve">65), encuentra un marco interpretativo robusto en la revisión sistemática realizada por Santos-Silva et al. (2025) sobre la evaluación de áreas protegidas mediante teledetección. </w:t>
      </w:r>
      <w:r w:rsidR="009E0383" w:rsidRPr="009E0383">
        <w:rPr>
          <w:rFonts w:ascii="Times New Roman" w:hAnsi="Times New Roman" w:cs="Times New Roman"/>
          <w:sz w:val="24"/>
          <w:szCs w:val="24"/>
        </w:rPr>
        <w:t>El presente estudio tiene como objetivo principal demostrar que las áreas protegidas efectivas mitigan las presiones antrópicas mediante el monitoreo de indicadores de integridad ecológica basados en teledetección. Para ello, se ha llevado a cabo una exhaustiva revisión bibliográfica que ha permitido concluir que los factores de presión ambiental superan la capacidad de resiliencia del ecosistema. Este hecho ha sido cuantificado por el ICCF, que ha establecido un punto de inflexión en 2019 en el que dichos factores de presión ambiental superan la capacidad de resiliencia del ecosistema.</w:t>
      </w:r>
      <w:r w:rsidRPr="00985FCF">
        <w:rPr>
          <w:rFonts w:ascii="Times New Roman" w:hAnsi="Times New Roman" w:cs="Times New Roman"/>
          <w:sz w:val="24"/>
          <w:szCs w:val="24"/>
        </w:rPr>
        <w:t>.</w:t>
      </w:r>
    </w:p>
    <w:p w14:paraId="02C8D6CF" w14:textId="6664332C"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Ambos </w:t>
      </w:r>
      <w:r w:rsidR="000769C6">
        <w:rPr>
          <w:rFonts w:ascii="Times New Roman" w:hAnsi="Times New Roman" w:cs="Times New Roman"/>
          <w:sz w:val="24"/>
          <w:szCs w:val="24"/>
        </w:rPr>
        <w:t>análisis</w:t>
      </w:r>
      <w:r w:rsidR="000769C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convergen en la necesidad </w:t>
      </w:r>
      <w:r w:rsidR="000769C6">
        <w:rPr>
          <w:rFonts w:ascii="Times New Roman" w:hAnsi="Times New Roman" w:cs="Times New Roman"/>
          <w:sz w:val="24"/>
          <w:szCs w:val="24"/>
        </w:rPr>
        <w:t xml:space="preserve">imperante </w:t>
      </w:r>
      <w:r w:rsidRPr="00985FCF">
        <w:rPr>
          <w:rFonts w:ascii="Times New Roman" w:hAnsi="Times New Roman" w:cs="Times New Roman"/>
          <w:sz w:val="24"/>
          <w:szCs w:val="24"/>
        </w:rPr>
        <w:t xml:space="preserve">de superar enfoques </w:t>
      </w:r>
      <w:r w:rsidR="000769C6" w:rsidRPr="000769C6">
        <w:rPr>
          <w:rFonts w:ascii="Times New Roman" w:hAnsi="Times New Roman" w:cs="Times New Roman"/>
          <w:sz w:val="24"/>
          <w:szCs w:val="24"/>
        </w:rPr>
        <w:t>unidimensionales. El</w:t>
      </w:r>
      <w:r w:rsidRPr="00985FCF">
        <w:rPr>
          <w:rFonts w:ascii="Times New Roman" w:hAnsi="Times New Roman" w:cs="Times New Roman"/>
          <w:sz w:val="24"/>
          <w:szCs w:val="24"/>
        </w:rPr>
        <w:t xml:space="preserve"> ICCF revela que la medición basada únicamente en </w:t>
      </w:r>
      <w:r w:rsidR="000769C6">
        <w:rPr>
          <w:rFonts w:ascii="Times New Roman" w:hAnsi="Times New Roman" w:cs="Times New Roman"/>
          <w:sz w:val="24"/>
          <w:szCs w:val="24"/>
        </w:rPr>
        <w:t xml:space="preserve">la </w:t>
      </w:r>
      <w:r w:rsidRPr="00985FCF">
        <w:rPr>
          <w:rFonts w:ascii="Times New Roman" w:hAnsi="Times New Roman" w:cs="Times New Roman"/>
          <w:sz w:val="24"/>
          <w:szCs w:val="24"/>
        </w:rPr>
        <w:t xml:space="preserve">cobertura espacial </w:t>
      </w:r>
      <w:r w:rsidR="000769C6">
        <w:rPr>
          <w:rFonts w:ascii="Times New Roman" w:hAnsi="Times New Roman" w:cs="Times New Roman"/>
          <w:sz w:val="24"/>
          <w:szCs w:val="24"/>
        </w:rPr>
        <w:t>resulta</w:t>
      </w:r>
      <w:r w:rsidR="000769C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insuficiente, mientras que su propuesta sobre un marco multidimensional que integra indicadores ecológicos, sociales y de procesos </w:t>
      </w:r>
      <w:r w:rsidR="000769C6" w:rsidRPr="000769C6">
        <w:rPr>
          <w:rFonts w:ascii="Times New Roman" w:hAnsi="Times New Roman" w:cs="Times New Roman"/>
          <w:sz w:val="24"/>
          <w:szCs w:val="24"/>
        </w:rPr>
        <w:t>ecosistémicos se erige como una solución holística.</w:t>
      </w:r>
      <w:r w:rsidRPr="00985FCF">
        <w:rPr>
          <w:rFonts w:ascii="Times New Roman" w:hAnsi="Times New Roman" w:cs="Times New Roman"/>
          <w:sz w:val="24"/>
          <w:szCs w:val="24"/>
        </w:rPr>
        <w:t xml:space="preserve"> La complementariedad metodológica es evidente: el ICCF </w:t>
      </w:r>
      <w:r w:rsidR="000769C6">
        <w:rPr>
          <w:rFonts w:ascii="Times New Roman" w:hAnsi="Times New Roman" w:cs="Times New Roman"/>
          <w:sz w:val="24"/>
          <w:szCs w:val="24"/>
        </w:rPr>
        <w:t>proporciona</w:t>
      </w:r>
      <w:r w:rsidR="000769C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una métrica temporal robusta para detectar transiciones críticas y la revisión de herramientas para la evaluación espacial de áreas protegidas proporciona herramientas para evaluar la efectividad mediante sensores remotos. </w:t>
      </w:r>
      <w:r w:rsidR="000769C6" w:rsidRPr="000769C6">
        <w:rPr>
          <w:rFonts w:ascii="Times New Roman" w:hAnsi="Times New Roman" w:cs="Times New Roman"/>
          <w:sz w:val="24"/>
          <w:szCs w:val="24"/>
        </w:rPr>
        <w:t xml:space="preserve">Este estudio </w:t>
      </w:r>
      <w:r w:rsidR="000769C6" w:rsidRPr="000769C6">
        <w:rPr>
          <w:rFonts w:ascii="Times New Roman" w:hAnsi="Times New Roman" w:cs="Times New Roman"/>
          <w:sz w:val="24"/>
          <w:szCs w:val="24"/>
        </w:rPr>
        <w:lastRenderedPageBreak/>
        <w:t>destaca la importancia de la sinergia en el avance de la comprensión de los umbrales de resiliencia forestal y subraya la necesidad imperativa de políticas de manejo adaptativo que integren escalas temporales y espaciales para mitigar los puntos de no retorno en ecosistemas vulnerables.</w:t>
      </w:r>
      <w:r w:rsidRPr="00985FCF">
        <w:rPr>
          <w:rFonts w:ascii="Times New Roman" w:hAnsi="Times New Roman" w:cs="Times New Roman"/>
          <w:sz w:val="24"/>
          <w:szCs w:val="24"/>
        </w:rPr>
        <w:t>.</w:t>
      </w:r>
    </w:p>
    <w:p w14:paraId="6DE585A8" w14:textId="55A1625A"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Los resultados del ICCF que identifican el punto de inflexión en 2019 (R² = 0</w:t>
      </w:r>
      <w:r w:rsidR="00030A13">
        <w:rPr>
          <w:rFonts w:ascii="Times New Roman" w:hAnsi="Times New Roman" w:cs="Times New Roman"/>
          <w:sz w:val="24"/>
          <w:szCs w:val="24"/>
        </w:rPr>
        <w:t>,</w:t>
      </w:r>
      <w:r w:rsidRPr="00985FCF">
        <w:rPr>
          <w:rFonts w:ascii="Times New Roman" w:hAnsi="Times New Roman" w:cs="Times New Roman"/>
          <w:sz w:val="24"/>
          <w:szCs w:val="24"/>
        </w:rPr>
        <w:t>45; p &lt; 0</w:t>
      </w:r>
      <w:r w:rsidR="00030A13">
        <w:rPr>
          <w:rFonts w:ascii="Times New Roman" w:hAnsi="Times New Roman" w:cs="Times New Roman"/>
          <w:sz w:val="24"/>
          <w:szCs w:val="24"/>
        </w:rPr>
        <w:t>,</w:t>
      </w:r>
      <w:r w:rsidRPr="00985FCF">
        <w:rPr>
          <w:rFonts w:ascii="Times New Roman" w:hAnsi="Times New Roman" w:cs="Times New Roman"/>
          <w:sz w:val="24"/>
          <w:szCs w:val="24"/>
        </w:rPr>
        <w:t>05) encuentran una relación espacial en el estudio de Veliz et al. (2025) sobre la cuenca del río Ponasa (Perú) donde la pérdida de cobertura forestal evidencia patrones similares de degradación acelerada. La convergencia de ambos estudios subraya la universalidad de los patrones de cambio -expansión agropecuaria, actividades extractivas y presión antrópica- en ecosistemas montañosos tropicales.</w:t>
      </w:r>
    </w:p>
    <w:p w14:paraId="194582A9" w14:textId="33841594" w:rsidR="00985FCF" w:rsidRPr="00985FCF" w:rsidRDefault="000769C6" w:rsidP="00F518F0">
      <w:pPr>
        <w:spacing w:after="120" w:line="360" w:lineRule="auto"/>
        <w:jc w:val="both"/>
        <w:rPr>
          <w:rFonts w:ascii="Times New Roman" w:hAnsi="Times New Roman" w:cs="Times New Roman"/>
          <w:sz w:val="24"/>
          <w:szCs w:val="24"/>
        </w:rPr>
      </w:pPr>
      <w:r w:rsidRPr="000769C6">
        <w:rPr>
          <w:rFonts w:ascii="Times New Roman" w:hAnsi="Times New Roman" w:cs="Times New Roman"/>
          <w:sz w:val="24"/>
          <w:szCs w:val="24"/>
        </w:rPr>
        <w:t>Desde una perspectiva metodológica</w:t>
      </w:r>
      <w:r w:rsidR="00985FCF" w:rsidRPr="00985FCF">
        <w:rPr>
          <w:rFonts w:ascii="Times New Roman" w:hAnsi="Times New Roman" w:cs="Times New Roman"/>
          <w:sz w:val="24"/>
          <w:szCs w:val="24"/>
        </w:rPr>
        <w:t xml:space="preserve">, mientras el ICCF proporciona un sistema de alerta temprana </w:t>
      </w:r>
      <w:r w:rsidRPr="000769C6">
        <w:rPr>
          <w:rFonts w:ascii="Times New Roman" w:hAnsi="Times New Roman" w:cs="Times New Roman"/>
          <w:sz w:val="24"/>
          <w:szCs w:val="24"/>
        </w:rPr>
        <w:t>fundamentado en el análisis de series temporales, mientras que el análisis espacial permite identificar patrones específicos de fragmentación y pérdida de conectividad. La complementariedad observada sugiere la necesidad imperante de implementar sistemas de monitoreo que integren indicadores temporales (ICCF) con evaluaciones espaciales de integridad ecosistémica, lo que permitiría diseñar intervenciones específicas según el tipo y grado de degradación</w:t>
      </w:r>
      <w:r w:rsidR="00985FCF" w:rsidRPr="00985FCF">
        <w:rPr>
          <w:rFonts w:ascii="Times New Roman" w:hAnsi="Times New Roman" w:cs="Times New Roman"/>
          <w:sz w:val="24"/>
          <w:szCs w:val="24"/>
        </w:rPr>
        <w:t>.</w:t>
      </w:r>
    </w:p>
    <w:p w14:paraId="1AB244EB" w14:textId="58E86CC2" w:rsidR="00985FCF" w:rsidRPr="00985FCF" w:rsidRDefault="000769C6" w:rsidP="00F518F0">
      <w:pPr>
        <w:spacing w:after="120" w:line="360" w:lineRule="auto"/>
        <w:jc w:val="both"/>
        <w:rPr>
          <w:rFonts w:ascii="Times New Roman" w:hAnsi="Times New Roman" w:cs="Times New Roman"/>
          <w:sz w:val="24"/>
          <w:szCs w:val="24"/>
        </w:rPr>
      </w:pPr>
      <w:r w:rsidRPr="000769C6">
        <w:rPr>
          <w:rFonts w:ascii="Times New Roman" w:hAnsi="Times New Roman" w:cs="Times New Roman"/>
          <w:sz w:val="24"/>
          <w:szCs w:val="24"/>
        </w:rPr>
        <w:t>En el ámbito de</w:t>
      </w:r>
      <w:r w:rsidR="00985FCF" w:rsidRPr="00985FCF">
        <w:rPr>
          <w:rFonts w:ascii="Times New Roman" w:hAnsi="Times New Roman" w:cs="Times New Roman"/>
          <w:sz w:val="24"/>
          <w:szCs w:val="24"/>
        </w:rPr>
        <w:t xml:space="preserve"> la toma de decisiones</w:t>
      </w:r>
      <w:r>
        <w:rPr>
          <w:rFonts w:ascii="Times New Roman" w:hAnsi="Times New Roman" w:cs="Times New Roman"/>
          <w:sz w:val="24"/>
          <w:szCs w:val="24"/>
        </w:rPr>
        <w:t>, la</w:t>
      </w:r>
      <w:r w:rsidR="00985FCF" w:rsidRPr="00985FCF">
        <w:rPr>
          <w:rFonts w:ascii="Times New Roman" w:hAnsi="Times New Roman" w:cs="Times New Roman"/>
          <w:sz w:val="24"/>
          <w:szCs w:val="24"/>
        </w:rPr>
        <w:t xml:space="preserve"> esta sinergia metodológica </w:t>
      </w:r>
      <w:r w:rsidRPr="000769C6">
        <w:rPr>
          <w:rFonts w:ascii="Times New Roman" w:hAnsi="Times New Roman" w:cs="Times New Roman"/>
          <w:sz w:val="24"/>
          <w:szCs w:val="24"/>
        </w:rPr>
        <w:t>proporciona</w:t>
      </w:r>
      <w:r w:rsidR="00985FCF" w:rsidRPr="00985FCF">
        <w:rPr>
          <w:rFonts w:ascii="Times New Roman" w:hAnsi="Times New Roman" w:cs="Times New Roman"/>
          <w:sz w:val="24"/>
          <w:szCs w:val="24"/>
        </w:rPr>
        <w:t xml:space="preserve"> un marco </w:t>
      </w:r>
      <w:r w:rsidRPr="000769C6">
        <w:rPr>
          <w:rFonts w:ascii="Times New Roman" w:hAnsi="Times New Roman" w:cs="Times New Roman"/>
          <w:sz w:val="24"/>
          <w:szCs w:val="24"/>
        </w:rPr>
        <w:t>sólido para la priorización de áreas de intervención, focalizando los esfuerzos en aquellos territorios que exhiban simultáneamente señales de alerta temporal y espacial. Esta estrategia permite optimizar los recursos de conservación en los paisajes críticos de los Andes tropicales, lo que resulta en una mayor eficacia en la gestión ambiental</w:t>
      </w:r>
      <w:r w:rsidR="00985FCF" w:rsidRPr="00985FCF">
        <w:rPr>
          <w:rFonts w:ascii="Times New Roman" w:hAnsi="Times New Roman" w:cs="Times New Roman"/>
          <w:sz w:val="24"/>
          <w:szCs w:val="24"/>
        </w:rPr>
        <w:t>.</w:t>
      </w:r>
    </w:p>
    <w:p w14:paraId="4AD3BF45" w14:textId="77777777" w:rsidR="006F142B"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El Índice de Producción Maderera (IPM) </w:t>
      </w:r>
      <w:r w:rsidR="00E969C5">
        <w:rPr>
          <w:rFonts w:ascii="Times New Roman" w:hAnsi="Times New Roman" w:cs="Times New Roman"/>
          <w:sz w:val="24"/>
          <w:szCs w:val="24"/>
        </w:rPr>
        <w:t>muestra</w:t>
      </w:r>
      <w:r w:rsidR="00E969C5"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una </w:t>
      </w:r>
      <w:r w:rsidR="00E969C5">
        <w:rPr>
          <w:rFonts w:ascii="Times New Roman" w:hAnsi="Times New Roman" w:cs="Times New Roman"/>
          <w:sz w:val="24"/>
          <w:szCs w:val="24"/>
        </w:rPr>
        <w:t>disminución</w:t>
      </w:r>
      <w:r w:rsidR="00E969C5" w:rsidRPr="00985FCF">
        <w:rPr>
          <w:rFonts w:ascii="Times New Roman" w:hAnsi="Times New Roman" w:cs="Times New Roman"/>
          <w:sz w:val="24"/>
          <w:szCs w:val="24"/>
        </w:rPr>
        <w:t xml:space="preserve"> </w:t>
      </w:r>
      <w:r w:rsidRPr="00985FCF">
        <w:rPr>
          <w:rFonts w:ascii="Times New Roman" w:hAnsi="Times New Roman" w:cs="Times New Roman"/>
          <w:sz w:val="24"/>
          <w:szCs w:val="24"/>
        </w:rPr>
        <w:t>estadísticamente significativa (R² = 0</w:t>
      </w:r>
      <w:r w:rsidR="00030A13">
        <w:rPr>
          <w:rFonts w:ascii="Times New Roman" w:hAnsi="Times New Roman" w:cs="Times New Roman"/>
          <w:sz w:val="24"/>
          <w:szCs w:val="24"/>
        </w:rPr>
        <w:t>,</w:t>
      </w:r>
      <w:r w:rsidRPr="00985FCF">
        <w:rPr>
          <w:rFonts w:ascii="Times New Roman" w:hAnsi="Times New Roman" w:cs="Times New Roman"/>
          <w:sz w:val="24"/>
          <w:szCs w:val="24"/>
        </w:rPr>
        <w:t>72; p &lt; 0</w:t>
      </w:r>
      <w:r w:rsidR="00030A13">
        <w:rPr>
          <w:rFonts w:ascii="Times New Roman" w:hAnsi="Times New Roman" w:cs="Times New Roman"/>
          <w:sz w:val="24"/>
          <w:szCs w:val="24"/>
        </w:rPr>
        <w:t>,</w:t>
      </w:r>
      <w:r w:rsidRPr="00985FCF">
        <w:rPr>
          <w:rFonts w:ascii="Times New Roman" w:hAnsi="Times New Roman" w:cs="Times New Roman"/>
          <w:sz w:val="24"/>
          <w:szCs w:val="24"/>
        </w:rPr>
        <w:t>01), con una caída abrupta del 87% entre 2015 (0</w:t>
      </w:r>
      <w:r w:rsidR="00030A13">
        <w:rPr>
          <w:rFonts w:ascii="Times New Roman" w:hAnsi="Times New Roman" w:cs="Times New Roman"/>
          <w:sz w:val="24"/>
          <w:szCs w:val="24"/>
        </w:rPr>
        <w:t>,</w:t>
      </w:r>
      <w:r w:rsidRPr="00985FCF">
        <w:rPr>
          <w:rFonts w:ascii="Times New Roman" w:hAnsi="Times New Roman" w:cs="Times New Roman"/>
          <w:sz w:val="24"/>
          <w:szCs w:val="24"/>
        </w:rPr>
        <w:t>15) y 2016 (0</w:t>
      </w:r>
      <w:r w:rsidR="00030A13">
        <w:rPr>
          <w:rFonts w:ascii="Times New Roman" w:hAnsi="Times New Roman" w:cs="Times New Roman"/>
          <w:sz w:val="24"/>
          <w:szCs w:val="24"/>
        </w:rPr>
        <w:t>,</w:t>
      </w:r>
      <w:r w:rsidRPr="00985FCF">
        <w:rPr>
          <w:rFonts w:ascii="Times New Roman" w:hAnsi="Times New Roman" w:cs="Times New Roman"/>
          <w:sz w:val="24"/>
          <w:szCs w:val="24"/>
        </w:rPr>
        <w:t xml:space="preserve">02), estabilizándose en valores mínimos posteriores (Figura 3). </w:t>
      </w:r>
      <w:r w:rsidR="00E969C5">
        <w:rPr>
          <w:rFonts w:ascii="Times New Roman" w:hAnsi="Times New Roman" w:cs="Times New Roman"/>
          <w:sz w:val="24"/>
          <w:szCs w:val="24"/>
        </w:rPr>
        <w:t>E</w:t>
      </w:r>
      <w:r w:rsidRPr="00985FCF">
        <w:rPr>
          <w:rFonts w:ascii="Times New Roman" w:hAnsi="Times New Roman" w:cs="Times New Roman"/>
          <w:sz w:val="24"/>
          <w:szCs w:val="24"/>
        </w:rPr>
        <w:t xml:space="preserve">ste </w:t>
      </w:r>
      <w:r w:rsidR="00E969C5" w:rsidRPr="00985FCF">
        <w:rPr>
          <w:rFonts w:ascii="Times New Roman" w:hAnsi="Times New Roman" w:cs="Times New Roman"/>
          <w:sz w:val="24"/>
          <w:szCs w:val="24"/>
        </w:rPr>
        <w:t>colaps</w:t>
      </w:r>
      <w:r w:rsidR="00E969C5">
        <w:rPr>
          <w:rFonts w:ascii="Times New Roman" w:hAnsi="Times New Roman" w:cs="Times New Roman"/>
          <w:sz w:val="24"/>
          <w:szCs w:val="24"/>
        </w:rPr>
        <w:t>o</w:t>
      </w:r>
      <w:r w:rsidR="00E969C5"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productivo sugiere una reconversión forzada de las operaciones forestales, posiblemente asociada a restricciones regulatorias, agotamiento de recursos accesibles o cambios estratégicos. </w:t>
      </w:r>
      <w:r w:rsidR="00E969C5" w:rsidRPr="00E969C5">
        <w:rPr>
          <w:rFonts w:ascii="Times New Roman" w:hAnsi="Times New Roman" w:cs="Times New Roman"/>
          <w:sz w:val="24"/>
          <w:szCs w:val="24"/>
        </w:rPr>
        <w:t>La correlación negativa entre el IPM y el IPAS (r = -0,55) sugiere una utilización ineficiente del potencial de aprovechamiento disponible, lo que podría reflejar sobreestimaciones técnicas o limitaciones operativas.</w:t>
      </w:r>
      <w:r w:rsidR="00E969C5">
        <w:rPr>
          <w:rFonts w:ascii="Times New Roman" w:hAnsi="Times New Roman" w:cs="Times New Roman"/>
          <w:sz w:val="24"/>
          <w:szCs w:val="24"/>
        </w:rPr>
        <w:t xml:space="preserve"> </w:t>
      </w:r>
      <w:r w:rsidR="00E969C5" w:rsidRPr="00E969C5">
        <w:rPr>
          <w:rFonts w:ascii="Times New Roman" w:hAnsi="Times New Roman" w:cs="Times New Roman"/>
          <w:sz w:val="24"/>
          <w:szCs w:val="24"/>
        </w:rPr>
        <w:t xml:space="preserve">En términos estadísticos, el modelo polinómico (R² = 0,85) exhibe una superioridad significativa en comparación con el modelo lineal, lo que valida la hipótesis de que la reducción </w:t>
      </w:r>
      <w:r w:rsidR="00E969C5" w:rsidRPr="00E969C5">
        <w:rPr>
          <w:rFonts w:ascii="Times New Roman" w:hAnsi="Times New Roman" w:cs="Times New Roman"/>
          <w:sz w:val="24"/>
          <w:szCs w:val="24"/>
        </w:rPr>
        <w:lastRenderedPageBreak/>
        <w:t>no ocurrió de manera gradual, sino que constituyó un punto de inflexión estructural. Desde una perspectiva operacional, esta contracción productiva podría comprometer la sostenibilidad económica de la unidad, aunque reduce las presiones ambientales inmediatas. La recuperación de la producción, que debe ser controlada, debe estar alineada con la capacidad real del bosque, a fin de evitar comprometer los avances en conservación.</w:t>
      </w:r>
      <w:r w:rsidR="00E969C5">
        <w:rPr>
          <w:rFonts w:ascii="Times New Roman" w:hAnsi="Times New Roman" w:cs="Times New Roman"/>
          <w:sz w:val="24"/>
          <w:szCs w:val="24"/>
        </w:rPr>
        <w:t xml:space="preserve"> </w:t>
      </w:r>
      <w:r w:rsidR="00E969C5" w:rsidRPr="00E969C5">
        <w:rPr>
          <w:rFonts w:ascii="Times New Roman" w:hAnsi="Times New Roman" w:cs="Times New Roman"/>
          <w:sz w:val="24"/>
          <w:szCs w:val="24"/>
        </w:rPr>
        <w:t>La significativa disminución del 87 % en el Índice de Producción Maderera (IPM) entre los años 2015 y 2016 (R² = 0,72; p &lt; 0,01) concuerda con las conclusiones reportadas por Fathi et al. (2025) en la cuenca de Malekshahi (Irán), donde la sostenibilidad socioeconómica exhibió una correlación positiva. La correlación negativa entre la disociación IPM-IPAS (r:-0,55) y las limitaciones operativas sugiere que las políticas inadecuadas afectan la eficiencia productiva de manera similar a lo observado en estudios previos.</w:t>
      </w:r>
      <w:r w:rsidR="00E969C5">
        <w:rPr>
          <w:rFonts w:ascii="Times New Roman" w:hAnsi="Times New Roman" w:cs="Times New Roman"/>
          <w:sz w:val="24"/>
          <w:szCs w:val="24"/>
        </w:rPr>
        <w:t xml:space="preserve"> </w:t>
      </w:r>
      <w:r w:rsidR="00E969C5" w:rsidRPr="00E969C5">
        <w:rPr>
          <w:rFonts w:ascii="Times New Roman" w:hAnsi="Times New Roman" w:cs="Times New Roman"/>
          <w:sz w:val="24"/>
          <w:szCs w:val="24"/>
        </w:rPr>
        <w:t>Como se desprende de los dos estudios analizados, la gestión forestal debe integrar indicadores ecológicos y socioeconómicos con el fin de prevenir posibles colapsos. La complementariedad metodológica (análisis de quiebre estructural frente a evaluación multicriterio) subraya la necesidad imperante de marcos adaptativos que equilibren producción y conservación. La evidencia de dicha convergencia muestra que la sostenibilidad de los ecosistemas forestales depende de políticas basadas en la evidencia científica y en la gobernanza participativa.</w:t>
      </w:r>
    </w:p>
    <w:p w14:paraId="7829E466" w14:textId="50B50027" w:rsidR="00985FCF" w:rsidRPr="00985FCF" w:rsidRDefault="00985FCF" w:rsidP="006F142B">
      <w:pPr>
        <w:spacing w:after="120" w:line="360" w:lineRule="auto"/>
        <w:jc w:val="center"/>
        <w:rPr>
          <w:rFonts w:ascii="Times New Roman" w:hAnsi="Times New Roman" w:cs="Times New Roman"/>
          <w:sz w:val="24"/>
          <w:szCs w:val="24"/>
        </w:rPr>
      </w:pPr>
      <w:r w:rsidRPr="00985FCF">
        <w:rPr>
          <w:rFonts w:ascii="Times New Roman" w:hAnsi="Times New Roman" w:cs="Times New Roman"/>
          <w:noProof/>
          <w:sz w:val="24"/>
          <w:szCs w:val="24"/>
        </w:rPr>
        <w:drawing>
          <wp:inline distT="0" distB="0" distL="0" distR="0" wp14:anchorId="335A24FE" wp14:editId="234A3DD6">
            <wp:extent cx="5400040" cy="2945130"/>
            <wp:effectExtent l="0" t="0" r="0" b="7620"/>
            <wp:docPr id="3" name="Imagen 3"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de líneas&#10;&#10;El contenido generado por IA puede ser incorrecto."/>
                    <pic:cNvPicPr/>
                  </pic:nvPicPr>
                  <pic:blipFill rotWithShape="1">
                    <a:blip r:embed="rId24">
                      <a:extLst>
                        <a:ext uri="{28A0092B-C50C-407E-A947-70E740481C1C}">
                          <a14:useLocalDpi xmlns:a14="http://schemas.microsoft.com/office/drawing/2010/main" val="0"/>
                        </a:ext>
                      </a:extLst>
                    </a:blip>
                    <a:srcRect t="9081"/>
                    <a:stretch/>
                  </pic:blipFill>
                  <pic:spPr bwMode="auto">
                    <a:xfrm>
                      <a:off x="0" y="0"/>
                      <a:ext cx="5400040" cy="2945130"/>
                    </a:xfrm>
                    <a:prstGeom prst="rect">
                      <a:avLst/>
                    </a:prstGeom>
                    <a:ln>
                      <a:noFill/>
                    </a:ln>
                    <a:extLst>
                      <a:ext uri="{53640926-AAD7-44D8-BBD7-CCE9431645EC}">
                        <a14:shadowObscured xmlns:a14="http://schemas.microsoft.com/office/drawing/2010/main"/>
                      </a:ext>
                    </a:extLst>
                  </pic:spPr>
                </pic:pic>
              </a:graphicData>
            </a:graphic>
          </wp:inline>
        </w:drawing>
      </w:r>
    </w:p>
    <w:p w14:paraId="7A2C165C" w14:textId="77777777" w:rsidR="00985FCF" w:rsidRPr="00985FCF" w:rsidRDefault="00985FCF" w:rsidP="0057742B">
      <w:pPr>
        <w:spacing w:after="120" w:line="240" w:lineRule="auto"/>
        <w:jc w:val="center"/>
        <w:rPr>
          <w:rFonts w:ascii="Times New Roman" w:hAnsi="Times New Roman" w:cs="Times New Roman"/>
          <w:sz w:val="24"/>
          <w:szCs w:val="24"/>
        </w:rPr>
      </w:pPr>
      <w:r w:rsidRPr="00985FCF">
        <w:rPr>
          <w:rFonts w:ascii="Times New Roman" w:hAnsi="Times New Roman" w:cs="Times New Roman"/>
          <w:sz w:val="24"/>
          <w:szCs w:val="24"/>
        </w:rPr>
        <w:t>Figura 3. Evolución temporal del Índice de Producción Maderera (IPM) durante el período 2013-2024 procesados mediante DeepSeek IA-V3.</w:t>
      </w:r>
    </w:p>
    <w:p w14:paraId="0862CAA0" w14:textId="31F5D75B" w:rsidR="00985FCF" w:rsidRPr="00985FCF" w:rsidRDefault="00944AD8" w:rsidP="00F518F0">
      <w:pPr>
        <w:spacing w:after="120" w:line="360" w:lineRule="auto"/>
        <w:jc w:val="both"/>
        <w:rPr>
          <w:rFonts w:ascii="Times New Roman" w:hAnsi="Times New Roman" w:cs="Times New Roman"/>
          <w:sz w:val="24"/>
          <w:szCs w:val="24"/>
        </w:rPr>
      </w:pPr>
      <w:r w:rsidRPr="00944AD8">
        <w:rPr>
          <w:rFonts w:ascii="Times New Roman" w:hAnsi="Times New Roman" w:cs="Times New Roman"/>
          <w:sz w:val="24"/>
          <w:szCs w:val="24"/>
        </w:rPr>
        <w:lastRenderedPageBreak/>
        <w:t>En concordancia con lo anteriormente expuesto, se evidencia la presencia de coincidencias con los análisis temporales efectuados sobre la base de políticas de manejo forestal integral, tales como el Multi-Forestry Business (MUF) en Indonesia por Silalahi et al. (2025).</w:t>
      </w:r>
      <w:r>
        <w:rPr>
          <w:rFonts w:ascii="Times New Roman" w:hAnsi="Times New Roman" w:cs="Times New Roman"/>
          <w:sz w:val="24"/>
          <w:szCs w:val="24"/>
        </w:rPr>
        <w:t xml:space="preserve"> </w:t>
      </w:r>
      <w:r w:rsidR="00985FCF" w:rsidRPr="00985FCF">
        <w:rPr>
          <w:rFonts w:ascii="Times New Roman" w:hAnsi="Times New Roman" w:cs="Times New Roman"/>
          <w:sz w:val="24"/>
          <w:szCs w:val="24"/>
        </w:rPr>
        <w:t>. La disociación IPM-IPAS (r = -0</w:t>
      </w:r>
      <w:r w:rsidR="00030A13">
        <w:rPr>
          <w:rFonts w:ascii="Times New Roman" w:hAnsi="Times New Roman" w:cs="Times New Roman"/>
          <w:sz w:val="24"/>
          <w:szCs w:val="24"/>
        </w:rPr>
        <w:t>,</w:t>
      </w:r>
      <w:r w:rsidR="00985FCF" w:rsidRPr="00985FCF">
        <w:rPr>
          <w:rFonts w:ascii="Times New Roman" w:hAnsi="Times New Roman" w:cs="Times New Roman"/>
          <w:sz w:val="24"/>
          <w:szCs w:val="24"/>
        </w:rPr>
        <w:t>55) refleja limitaciones operativas similares a las documentadas en la implementación del MUK, donde la transición de modelos extractivos a multipropósito enfrenta desafíos técnicos y regulatorios.</w:t>
      </w:r>
    </w:p>
    <w:p w14:paraId="50BB039B" w14:textId="77777777" w:rsidR="006F142B" w:rsidRDefault="00944AD8" w:rsidP="00F518F0">
      <w:pPr>
        <w:spacing w:after="120" w:line="360" w:lineRule="auto"/>
        <w:jc w:val="both"/>
        <w:rPr>
          <w:rFonts w:ascii="Times New Roman" w:hAnsi="Times New Roman" w:cs="Times New Roman"/>
          <w:sz w:val="24"/>
          <w:szCs w:val="24"/>
        </w:rPr>
      </w:pPr>
      <w:r w:rsidRPr="00944AD8">
        <w:rPr>
          <w:rFonts w:ascii="Times New Roman" w:hAnsi="Times New Roman" w:cs="Times New Roman"/>
          <w:sz w:val="24"/>
          <w:szCs w:val="24"/>
        </w:rPr>
        <w:t>Como se ha puesto de manifiesto en investigaciones previas, el presente estudio destaca que la diversificación productiva mediante esquemas como el MUK puede mitigar el colapso productivo. Sin embargo, dicho fenómeno requiere superar las brechas existentes entre el potencial y el aprovechamiento efectivo. Esta convergencia subraya la importancia crucial de implementar políticas de manejo adaptativo que equilibren la producción maderera, los productos no madereros y los servicios ambientales, con el fin de garantizar la sostenibilidad forestal.El Índice de Potencial de Aprovechamiento Sostenible (IPAS) exhibe una alta volatilidad interanual (σ = 0,05), sin presentar una tendencia lineal significativa (R² = 0,0001; p &gt; 0,05), lo que sugiere una inconsistencia en la planificación forestal (Figura 4). El pico máximo alcanzado en 2016 (0,19) sugiere una evaluación técnica optimista que no se materializó en la producción real (se observó una correlación negativa con el IPM: r = -0,55). La variabilidad observada en este estudio refleja una posible discontinuidad en la gestión silvícola, que podría estar asociada a cambios metodológicos, sobreestimación de recursos o limitaciones operativas.</w:t>
      </w:r>
      <w:r>
        <w:rPr>
          <w:rFonts w:ascii="Times New Roman" w:hAnsi="Times New Roman" w:cs="Times New Roman"/>
          <w:sz w:val="24"/>
          <w:szCs w:val="24"/>
        </w:rPr>
        <w:t xml:space="preserve"> </w:t>
      </w:r>
      <w:r w:rsidRPr="00944AD8">
        <w:rPr>
          <w:rFonts w:ascii="Times New Roman" w:hAnsi="Times New Roman" w:cs="Times New Roman"/>
          <w:sz w:val="24"/>
          <w:szCs w:val="24"/>
        </w:rPr>
        <w:t>En términos estadísticos, la ausencia de autocorrelación serial sugiere que cada evaluación anual se realizó de manera independiente, sin presentar aprendizaje acumulativo. La disparidad entre el potencial teórico y la ejecución práctica evidencia deficiencias en la articulación entre la planificación y la operatividad. Para mejorar la sostenibilidad, se requiere armonizar el IPAS con la capacidad real de aprovechamiento y la resiliencia del ecosistema.</w:t>
      </w:r>
    </w:p>
    <w:p w14:paraId="07B89F4A" w14:textId="4F10C0A3" w:rsidR="00985FCF" w:rsidRPr="00985FCF" w:rsidRDefault="00985FCF" w:rsidP="006F142B">
      <w:pPr>
        <w:spacing w:after="120" w:line="360" w:lineRule="auto"/>
        <w:jc w:val="center"/>
        <w:rPr>
          <w:rFonts w:ascii="Times New Roman" w:hAnsi="Times New Roman" w:cs="Times New Roman"/>
          <w:sz w:val="24"/>
          <w:szCs w:val="24"/>
        </w:rPr>
      </w:pPr>
      <w:r w:rsidRPr="00985FCF">
        <w:rPr>
          <w:rFonts w:ascii="Times New Roman" w:hAnsi="Times New Roman" w:cs="Times New Roman"/>
          <w:noProof/>
          <w:sz w:val="24"/>
          <w:szCs w:val="24"/>
        </w:rPr>
        <w:lastRenderedPageBreak/>
        <w:drawing>
          <wp:inline distT="0" distB="0" distL="0" distR="0" wp14:anchorId="4442003E" wp14:editId="7232F5EF">
            <wp:extent cx="5400040" cy="2953385"/>
            <wp:effectExtent l="0" t="0" r="0" b="0"/>
            <wp:docPr id="4" name="Imagen 4" descr="Gráfico, Histo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Gráfico, Histograma&#10;&#10;El contenido generado por IA puede ser incorrecto."/>
                    <pic:cNvPicPr/>
                  </pic:nvPicPr>
                  <pic:blipFill rotWithShape="1">
                    <a:blip r:embed="rId25">
                      <a:extLst>
                        <a:ext uri="{28A0092B-C50C-407E-A947-70E740481C1C}">
                          <a14:useLocalDpi xmlns:a14="http://schemas.microsoft.com/office/drawing/2010/main" val="0"/>
                        </a:ext>
                      </a:extLst>
                    </a:blip>
                    <a:srcRect t="8836"/>
                    <a:stretch/>
                  </pic:blipFill>
                  <pic:spPr bwMode="auto">
                    <a:xfrm>
                      <a:off x="0" y="0"/>
                      <a:ext cx="5400040" cy="2953385"/>
                    </a:xfrm>
                    <a:prstGeom prst="rect">
                      <a:avLst/>
                    </a:prstGeom>
                    <a:ln>
                      <a:noFill/>
                    </a:ln>
                    <a:extLst>
                      <a:ext uri="{53640926-AAD7-44D8-BBD7-CCE9431645EC}">
                        <a14:shadowObscured xmlns:a14="http://schemas.microsoft.com/office/drawing/2010/main"/>
                      </a:ext>
                    </a:extLst>
                  </pic:spPr>
                </pic:pic>
              </a:graphicData>
            </a:graphic>
          </wp:inline>
        </w:drawing>
      </w:r>
    </w:p>
    <w:p w14:paraId="50C38FC1" w14:textId="77777777" w:rsidR="00985FCF" w:rsidRPr="00985FCF" w:rsidRDefault="00985FCF" w:rsidP="0057742B">
      <w:pPr>
        <w:spacing w:after="120" w:line="240" w:lineRule="auto"/>
        <w:jc w:val="center"/>
        <w:rPr>
          <w:rFonts w:ascii="Times New Roman" w:hAnsi="Times New Roman" w:cs="Times New Roman"/>
          <w:sz w:val="24"/>
          <w:szCs w:val="24"/>
        </w:rPr>
      </w:pPr>
      <w:r w:rsidRPr="00985FCF">
        <w:rPr>
          <w:rFonts w:ascii="Times New Roman" w:hAnsi="Times New Roman" w:cs="Times New Roman"/>
          <w:sz w:val="24"/>
          <w:szCs w:val="24"/>
        </w:rPr>
        <w:t>Figura 4. Evolución temporal del Índice de Potencial de Aprovechamiento Sostenible (IPAS) durante el período 2013-2024 procesados mediante DeepSeek IA-V3.</w:t>
      </w:r>
    </w:p>
    <w:p w14:paraId="796ECFF4" w14:textId="69554B95"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Los resultados del Índice de Potencial de Aprovechamiento Sostenible (IPAS) caracterizados por una alta variabilidad interanual (σ = 0</w:t>
      </w:r>
      <w:r w:rsidR="00030A13">
        <w:rPr>
          <w:rFonts w:ascii="Times New Roman" w:hAnsi="Times New Roman" w:cs="Times New Roman"/>
          <w:sz w:val="24"/>
          <w:szCs w:val="24"/>
        </w:rPr>
        <w:t>,</w:t>
      </w:r>
      <w:r w:rsidRPr="00985FCF">
        <w:rPr>
          <w:rFonts w:ascii="Times New Roman" w:hAnsi="Times New Roman" w:cs="Times New Roman"/>
          <w:sz w:val="24"/>
          <w:szCs w:val="24"/>
        </w:rPr>
        <w:t>05) y la ausencia de tendencia lineal significativa (R² = 0</w:t>
      </w:r>
      <w:r w:rsidR="00030A13">
        <w:rPr>
          <w:rFonts w:ascii="Times New Roman" w:hAnsi="Times New Roman" w:cs="Times New Roman"/>
          <w:sz w:val="24"/>
          <w:szCs w:val="24"/>
        </w:rPr>
        <w:t>,</w:t>
      </w:r>
      <w:r w:rsidRPr="00985FCF">
        <w:rPr>
          <w:rFonts w:ascii="Times New Roman" w:hAnsi="Times New Roman" w:cs="Times New Roman"/>
          <w:sz w:val="24"/>
          <w:szCs w:val="24"/>
        </w:rPr>
        <w:t>0001; p &gt; 0</w:t>
      </w:r>
      <w:r w:rsidR="00030A13">
        <w:rPr>
          <w:rFonts w:ascii="Times New Roman" w:hAnsi="Times New Roman" w:cs="Times New Roman"/>
          <w:sz w:val="24"/>
          <w:szCs w:val="24"/>
        </w:rPr>
        <w:t>,</w:t>
      </w:r>
      <w:r w:rsidRPr="00985FCF">
        <w:rPr>
          <w:rFonts w:ascii="Times New Roman" w:hAnsi="Times New Roman" w:cs="Times New Roman"/>
          <w:sz w:val="24"/>
          <w:szCs w:val="24"/>
        </w:rPr>
        <w:t>05), reflejan desafíos en la planificación forestal que contrastan con los avances metodológicos presentados en el estudio de Saim &amp; Aly (2025) sobre fusión de datos y aprendizaje automático para estimación de biomasa forestal.</w:t>
      </w:r>
    </w:p>
    <w:p w14:paraId="6CCCE4F5" w14:textId="64250F45" w:rsidR="00985FCF" w:rsidRPr="00985FCF" w:rsidRDefault="00944AD8" w:rsidP="00F518F0">
      <w:pPr>
        <w:spacing w:after="120" w:line="360" w:lineRule="auto"/>
        <w:jc w:val="both"/>
        <w:rPr>
          <w:rFonts w:ascii="Times New Roman" w:hAnsi="Times New Roman" w:cs="Times New Roman"/>
          <w:sz w:val="24"/>
          <w:szCs w:val="24"/>
        </w:rPr>
      </w:pPr>
      <w:r w:rsidRPr="00944AD8">
        <w:rPr>
          <w:rFonts w:ascii="Times New Roman" w:hAnsi="Times New Roman" w:cs="Times New Roman"/>
          <w:sz w:val="24"/>
          <w:szCs w:val="24"/>
        </w:rPr>
        <w:t xml:space="preserve">El IPAS evidencia inconsistencias en la articulación entre la evaluación técnica y la ejecución operativa (correlación negativa con IPM: r = -0,55). Sin embargo, los autores demuestran que la integración de datos multisensor (Sentinel-1, Sentinel-2 y GEDI) con algoritmos de Random Forest permite estimaciones de biomasa con alta precisión (R² = 0,95) y resolución espacial (10 m). La complementariedad entre ambos enfoques se manifiesta en la necesidad imperante de armonizar la planificación con la capacidad real de los ecosistemas, un aspecto en el que el IPAS se erige como un referente destacado. En contraste, el enfoque de geoespacialismo provee herramientas técnicas que permiten superar las limitaciones impuestas por variables topográficas, espectrales y estructurales, constituyendo así un complemento esencial para la comprensión y gestión de los sistemas naturales y artificiales en un contexto geoespacial. La presente investigación sugiere que los frameworks basados en plataformas abiertas (Google Earth Engine) y los modelos explicativos podrían mejorar la consistencia de índices como el IPAS al incorporar </w:t>
      </w:r>
      <w:r w:rsidRPr="00944AD8">
        <w:rPr>
          <w:rFonts w:ascii="Times New Roman" w:hAnsi="Times New Roman" w:cs="Times New Roman"/>
          <w:sz w:val="24"/>
          <w:szCs w:val="24"/>
        </w:rPr>
        <w:lastRenderedPageBreak/>
        <w:t>datos multiescala y variables de resiliencia ecosistémica.</w:t>
      </w:r>
      <w:r>
        <w:rPr>
          <w:rFonts w:ascii="Times New Roman" w:hAnsi="Times New Roman" w:cs="Times New Roman"/>
          <w:sz w:val="24"/>
          <w:szCs w:val="24"/>
        </w:rPr>
        <w:t xml:space="preserve"> </w:t>
      </w:r>
      <w:r w:rsidR="00985FCF" w:rsidRPr="00985FCF">
        <w:rPr>
          <w:rFonts w:ascii="Times New Roman" w:hAnsi="Times New Roman" w:cs="Times New Roman"/>
          <w:sz w:val="24"/>
          <w:szCs w:val="24"/>
        </w:rPr>
        <w:t>El Índice de Capacidad de Carga Forestal (ICCF) evidencia un comportamiento no lineal (R² = 0</w:t>
      </w:r>
      <w:r w:rsidR="00030A13">
        <w:rPr>
          <w:rFonts w:ascii="Times New Roman" w:hAnsi="Times New Roman" w:cs="Times New Roman"/>
          <w:sz w:val="24"/>
          <w:szCs w:val="24"/>
        </w:rPr>
        <w:t>,</w:t>
      </w:r>
      <w:r w:rsidR="00985FCF" w:rsidRPr="00985FCF">
        <w:rPr>
          <w:rFonts w:ascii="Times New Roman" w:hAnsi="Times New Roman" w:cs="Times New Roman"/>
          <w:sz w:val="24"/>
          <w:szCs w:val="24"/>
        </w:rPr>
        <w:t>67) con un pico en 2017 (0</w:t>
      </w:r>
      <w:r w:rsidR="00030A13">
        <w:rPr>
          <w:rFonts w:ascii="Times New Roman" w:hAnsi="Times New Roman" w:cs="Times New Roman"/>
          <w:sz w:val="24"/>
          <w:szCs w:val="24"/>
        </w:rPr>
        <w:t>,</w:t>
      </w:r>
      <w:r w:rsidR="00985FCF" w:rsidRPr="00985FCF">
        <w:rPr>
          <w:rFonts w:ascii="Times New Roman" w:hAnsi="Times New Roman" w:cs="Times New Roman"/>
          <w:sz w:val="24"/>
          <w:szCs w:val="24"/>
        </w:rPr>
        <w:t>06), seguido de una disminución progresiva hasta valores críticamente bajos (≈0</w:t>
      </w:r>
      <w:r w:rsidR="00030A13">
        <w:rPr>
          <w:rFonts w:ascii="Times New Roman" w:hAnsi="Times New Roman" w:cs="Times New Roman"/>
          <w:sz w:val="24"/>
          <w:szCs w:val="24"/>
        </w:rPr>
        <w:t>,</w:t>
      </w:r>
      <w:r w:rsidR="00985FCF" w:rsidRPr="00985FCF">
        <w:rPr>
          <w:rFonts w:ascii="Times New Roman" w:hAnsi="Times New Roman" w:cs="Times New Roman"/>
          <w:sz w:val="24"/>
          <w:szCs w:val="24"/>
        </w:rPr>
        <w:t xml:space="preserve">00) en el período 2021-2024 (Figura 5). </w:t>
      </w:r>
      <w:r w:rsidRPr="00944AD8">
        <w:rPr>
          <w:rFonts w:ascii="Times New Roman" w:hAnsi="Times New Roman" w:cs="Times New Roman"/>
          <w:sz w:val="24"/>
          <w:szCs w:val="24"/>
        </w:rPr>
        <w:t>Desde una perspectiva estadística, esta tendencia refleja una pérdida significativa de resiliencia ecosistémica, lo que implica que el bosque ha reducido su capacidad para sostener actividades productivas y amortiguar perturbaciones.</w:t>
      </w:r>
    </w:p>
    <w:p w14:paraId="141853BD" w14:textId="77777777" w:rsidR="00DD51FC" w:rsidRDefault="00944AD8" w:rsidP="00DD51FC">
      <w:pPr>
        <w:spacing w:after="120" w:line="360" w:lineRule="auto"/>
        <w:jc w:val="both"/>
        <w:rPr>
          <w:rFonts w:ascii="Times New Roman" w:hAnsi="Times New Roman" w:cs="Times New Roman"/>
          <w:sz w:val="24"/>
          <w:szCs w:val="24"/>
        </w:rPr>
      </w:pPr>
      <w:r w:rsidRPr="00944AD8">
        <w:rPr>
          <w:rFonts w:ascii="Times New Roman" w:hAnsi="Times New Roman" w:cs="Times New Roman"/>
          <w:sz w:val="24"/>
          <w:szCs w:val="24"/>
        </w:rPr>
        <w:t>La fuerte correlación positiva con el ICF (r = 0,82) confirma la hipótesis de que la capacidad de carga depende directamente de la cobertura forestal, lo que explica su declive paralelo post-2018. La proximidad a su límite ecológico indica que el ecosistema opera con mínima capacidad, aumentando su vulnerabilidad a disturbios naturales o antropogénicos (García, 2023). Se hace imperativo implementar medidas de restauración, tales como el enriquecimiento con especies autóctonas y la gestión de procesos de regeneración, con el propósito de restablecer esta funcionalidad crítica y garantizar la sostenibilidad a largo plazo.</w:t>
      </w:r>
      <w:r>
        <w:rPr>
          <w:rFonts w:ascii="Times New Roman" w:hAnsi="Times New Roman" w:cs="Times New Roman"/>
          <w:sz w:val="24"/>
          <w:szCs w:val="24"/>
        </w:rPr>
        <w:t xml:space="preserve"> </w:t>
      </w:r>
      <w:r w:rsidRPr="00944AD8">
        <w:rPr>
          <w:rFonts w:ascii="Times New Roman" w:hAnsi="Times New Roman" w:cs="Times New Roman"/>
          <w:sz w:val="24"/>
          <w:szCs w:val="24"/>
        </w:rPr>
        <w:t>Los resultados del Índice de Capacidad de Carga Forestal (ICCF), que exhiben una reducción crítica a valores cercanos a cero (≈0,00) en el período 2021-2024 con tendencia no lineal, se complementan con el estudio de Portilla (2024) en el páramo Chilcatingo-Yacubamba (Ecuador). El ICCF, en su labor de cuantificación de la pérdida de resiliencia ecosistémica y su correlación con la cobertura forestal (r = 0,82), se encuentra en proceso de investigación. Por su parte, la investigación del páramo, mediante el modelo PER, ha identificado que las actividades agropecuarias (agricultura, 54 %, ganadería, 29 %) son los principales motores de degradación.</w:t>
      </w:r>
      <w:r>
        <w:rPr>
          <w:rFonts w:ascii="Times New Roman" w:hAnsi="Times New Roman" w:cs="Times New Roman"/>
          <w:sz w:val="24"/>
          <w:szCs w:val="24"/>
        </w:rPr>
        <w:t xml:space="preserve"> </w:t>
      </w:r>
    </w:p>
    <w:p w14:paraId="1876EB61" w14:textId="7CC7B283" w:rsidR="00985FCF" w:rsidRPr="00985FCF" w:rsidRDefault="00985FCF" w:rsidP="006F142B">
      <w:pPr>
        <w:spacing w:after="120" w:line="360" w:lineRule="auto"/>
        <w:jc w:val="center"/>
        <w:rPr>
          <w:rFonts w:ascii="Times New Roman" w:hAnsi="Times New Roman" w:cs="Times New Roman"/>
          <w:sz w:val="24"/>
          <w:szCs w:val="24"/>
        </w:rPr>
      </w:pPr>
      <w:r w:rsidRPr="00985FCF">
        <w:rPr>
          <w:rFonts w:ascii="Times New Roman" w:hAnsi="Times New Roman" w:cs="Times New Roman"/>
          <w:noProof/>
          <w:sz w:val="24"/>
          <w:szCs w:val="24"/>
        </w:rPr>
        <w:lastRenderedPageBreak/>
        <w:drawing>
          <wp:inline distT="0" distB="0" distL="0" distR="0" wp14:anchorId="0F160107" wp14:editId="2811BEB2">
            <wp:extent cx="5349870" cy="2926080"/>
            <wp:effectExtent l="0" t="0" r="3810" b="7620"/>
            <wp:docPr id="5" name="Imagen 5"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 Gráfico de líneas&#10;&#10;El contenido generado por IA puede ser incorrecto."/>
                    <pic:cNvPicPr/>
                  </pic:nvPicPr>
                  <pic:blipFill rotWithShape="1">
                    <a:blip r:embed="rId26" cstate="print">
                      <a:extLst>
                        <a:ext uri="{28A0092B-C50C-407E-A947-70E740481C1C}">
                          <a14:useLocalDpi xmlns:a14="http://schemas.microsoft.com/office/drawing/2010/main" val="0"/>
                        </a:ext>
                      </a:extLst>
                    </a:blip>
                    <a:srcRect t="8836"/>
                    <a:stretch/>
                  </pic:blipFill>
                  <pic:spPr bwMode="auto">
                    <a:xfrm>
                      <a:off x="0" y="0"/>
                      <a:ext cx="5401845" cy="2954507"/>
                    </a:xfrm>
                    <a:prstGeom prst="rect">
                      <a:avLst/>
                    </a:prstGeom>
                    <a:ln>
                      <a:noFill/>
                    </a:ln>
                    <a:extLst>
                      <a:ext uri="{53640926-AAD7-44D8-BBD7-CCE9431645EC}">
                        <a14:shadowObscured xmlns:a14="http://schemas.microsoft.com/office/drawing/2010/main"/>
                      </a:ext>
                    </a:extLst>
                  </pic:spPr>
                </pic:pic>
              </a:graphicData>
            </a:graphic>
          </wp:inline>
        </w:drawing>
      </w:r>
    </w:p>
    <w:p w14:paraId="25309EDD" w14:textId="77777777" w:rsidR="00985FCF" w:rsidRPr="00985FCF" w:rsidRDefault="00985FCF" w:rsidP="0057742B">
      <w:pPr>
        <w:spacing w:after="120" w:line="240" w:lineRule="auto"/>
        <w:jc w:val="center"/>
        <w:rPr>
          <w:rFonts w:ascii="Times New Roman" w:hAnsi="Times New Roman" w:cs="Times New Roman"/>
          <w:sz w:val="24"/>
          <w:szCs w:val="24"/>
        </w:rPr>
      </w:pPr>
      <w:r w:rsidRPr="00985FCF">
        <w:rPr>
          <w:rFonts w:ascii="Times New Roman" w:hAnsi="Times New Roman" w:cs="Times New Roman"/>
          <w:sz w:val="24"/>
          <w:szCs w:val="24"/>
        </w:rPr>
        <w:t>Figura 5. Evolución temporal del Índice de Capacidad de Carga Forestal (ICCF) durante el período 2013-2024 procesados mediante DeepSeek IA-V3.</w:t>
      </w:r>
    </w:p>
    <w:p w14:paraId="440B49F7" w14:textId="1B8ADEA3" w:rsidR="00985FCF" w:rsidRPr="00985FCF" w:rsidRDefault="00944AD8" w:rsidP="00F518F0">
      <w:pPr>
        <w:spacing w:after="120" w:line="360" w:lineRule="auto"/>
        <w:jc w:val="both"/>
        <w:rPr>
          <w:rFonts w:ascii="Times New Roman" w:hAnsi="Times New Roman" w:cs="Times New Roman"/>
          <w:sz w:val="24"/>
          <w:szCs w:val="24"/>
        </w:rPr>
      </w:pPr>
      <w:r w:rsidRPr="00944AD8">
        <w:rPr>
          <w:rFonts w:ascii="Times New Roman" w:hAnsi="Times New Roman" w:cs="Times New Roman"/>
          <w:sz w:val="24"/>
          <w:szCs w:val="24"/>
        </w:rPr>
        <w:t>La sinergia metodológica es evidente: el ICCF proporciona una métrica temporal para la detección de umbrales críticos, mientras que el modelo PER ofrece un marco estructural para el análisis de causas y respuestas. Como se desprende de los dos estudios analizados, la recuperación de los ecosistemas requiere la implementación de estrategias de restauración activa, tales como el enriquecimiento con especies autóctonas, así como un monitoreo comunitario continuo. Esta necesidad se torna especialmente patente en los ecosistemas de alta montaña, que se encuentran entre los más vulnerables al cambio climático. La integración en cuestión constituye un elemento fundamental que fundamenta la necesidad imperante de lograr una armonización entre la planificación establecida y la capacidad real de los ecosistemas, estableciendo prioridades que sitúen la gobernanza participativa y el equilibrio entre los procesos productivos y las prácticas conservacionistas como valores preeminentes.</w:t>
      </w:r>
      <w:r>
        <w:rPr>
          <w:rFonts w:ascii="Times New Roman" w:hAnsi="Times New Roman" w:cs="Times New Roman"/>
          <w:sz w:val="24"/>
          <w:szCs w:val="24"/>
        </w:rPr>
        <w:t xml:space="preserve"> </w:t>
      </w:r>
      <w:r w:rsidR="00985FCF" w:rsidRPr="00985FCF">
        <w:rPr>
          <w:rFonts w:ascii="Times New Roman" w:hAnsi="Times New Roman" w:cs="Times New Roman"/>
          <w:sz w:val="24"/>
          <w:szCs w:val="24"/>
        </w:rPr>
        <w:t xml:space="preserve">La estabilidad artificial del IRF implica que la gestión financiera de la UEB Silvícola Guisa opera bajo un modelo rígido que no internaliza las crecientes presiones ambientales ni la degradación de los recursos forestales (Figura 6). </w:t>
      </w:r>
      <w:r>
        <w:rPr>
          <w:rFonts w:ascii="Times New Roman" w:hAnsi="Times New Roman" w:cs="Times New Roman"/>
          <w:sz w:val="24"/>
          <w:szCs w:val="24"/>
        </w:rPr>
        <w:t>A</w:t>
      </w:r>
      <w:r w:rsidR="00985FCF" w:rsidRPr="00985FCF">
        <w:rPr>
          <w:rFonts w:ascii="Times New Roman" w:hAnsi="Times New Roman" w:cs="Times New Roman"/>
          <w:sz w:val="24"/>
          <w:szCs w:val="24"/>
        </w:rPr>
        <w:t xml:space="preserve"> pesar de la reducción en </w:t>
      </w:r>
      <w:r>
        <w:rPr>
          <w:rFonts w:ascii="Times New Roman" w:hAnsi="Times New Roman" w:cs="Times New Roman"/>
          <w:sz w:val="24"/>
          <w:szCs w:val="24"/>
        </w:rPr>
        <w:t xml:space="preserve">la </w:t>
      </w:r>
      <w:r w:rsidR="00985FCF" w:rsidRPr="00985FCF">
        <w:rPr>
          <w:rFonts w:ascii="Times New Roman" w:hAnsi="Times New Roman" w:cs="Times New Roman"/>
          <w:sz w:val="24"/>
          <w:szCs w:val="24"/>
        </w:rPr>
        <w:t>productividad (IPF ≈ 0</w:t>
      </w:r>
      <w:r w:rsidR="00030A13">
        <w:rPr>
          <w:rFonts w:ascii="Times New Roman" w:hAnsi="Times New Roman" w:cs="Times New Roman"/>
          <w:sz w:val="24"/>
          <w:szCs w:val="24"/>
        </w:rPr>
        <w:t>,</w:t>
      </w:r>
      <w:r w:rsidR="00985FCF" w:rsidRPr="00985FCF">
        <w:rPr>
          <w:rFonts w:ascii="Times New Roman" w:hAnsi="Times New Roman" w:cs="Times New Roman"/>
          <w:sz w:val="24"/>
          <w:szCs w:val="24"/>
        </w:rPr>
        <w:t xml:space="preserve">00), la pérdida de cobertura forestal (ICF ↓) y la disminución de la capacidad de carga (ICCF_carga ≈ 000), se </w:t>
      </w:r>
      <w:r w:rsidR="00030A13">
        <w:rPr>
          <w:rFonts w:ascii="Times New Roman" w:hAnsi="Times New Roman" w:cs="Times New Roman"/>
          <w:sz w:val="24"/>
          <w:szCs w:val="24"/>
        </w:rPr>
        <w:t>,</w:t>
      </w:r>
      <w:r w:rsidR="00985FCF" w:rsidRPr="00985FCF">
        <w:rPr>
          <w:rFonts w:ascii="Times New Roman" w:hAnsi="Times New Roman" w:cs="Times New Roman"/>
          <w:sz w:val="24"/>
          <w:szCs w:val="24"/>
        </w:rPr>
        <w:t>genera una ilusión de sostenibilidad económica que enmascara riesgos latentes.</w:t>
      </w:r>
    </w:p>
    <w:p w14:paraId="7E0DEDF2" w14:textId="77777777" w:rsidR="00DD51FC" w:rsidRDefault="007D3360" w:rsidP="00DD51FC">
      <w:pPr>
        <w:spacing w:after="120" w:line="360" w:lineRule="auto"/>
        <w:jc w:val="both"/>
        <w:rPr>
          <w:rFonts w:ascii="Times New Roman" w:hAnsi="Times New Roman" w:cs="Times New Roman"/>
          <w:sz w:val="24"/>
          <w:szCs w:val="24"/>
        </w:rPr>
      </w:pPr>
      <w:r w:rsidRPr="007D3360">
        <w:rPr>
          <w:rFonts w:ascii="Times New Roman" w:hAnsi="Times New Roman" w:cs="Times New Roman"/>
          <w:sz w:val="24"/>
          <w:szCs w:val="24"/>
        </w:rPr>
        <w:lastRenderedPageBreak/>
        <w:t>Esta desconexión entre rentabilidad y realidad ecológica puede conducir a la adopción de decisiones cortoplacistas, tales como la postergación de inversiones en restauración o la subestimación de los costes ambientales. A largo plazo, se compromete la viabilidad del sistema, ya que la degradación continua de los recursos eventualmente requerirá gastos correctivos mayores o reducirá irreversiblemente la base productiva. Se hace imperativo reformular el índice con el propósito de incorporar los costos asociados a la conservación, las fluctuaciones del mercado y las externalidades ambientales. Es fundamental garantizar que la rentabilidad refleje de manera precisa la salud integral del bosque.</w:t>
      </w:r>
    </w:p>
    <w:p w14:paraId="1C6D659A" w14:textId="397CA68B" w:rsidR="00985FCF" w:rsidRPr="00985FCF" w:rsidRDefault="00985FCF" w:rsidP="006F142B">
      <w:pPr>
        <w:spacing w:after="120" w:line="360" w:lineRule="auto"/>
        <w:jc w:val="center"/>
        <w:rPr>
          <w:rFonts w:ascii="Times New Roman" w:hAnsi="Times New Roman" w:cs="Times New Roman"/>
          <w:sz w:val="24"/>
          <w:szCs w:val="24"/>
        </w:rPr>
      </w:pPr>
      <w:r w:rsidRPr="00985FCF">
        <w:rPr>
          <w:rFonts w:ascii="Times New Roman" w:hAnsi="Times New Roman" w:cs="Times New Roman"/>
          <w:noProof/>
          <w:sz w:val="24"/>
          <w:szCs w:val="24"/>
        </w:rPr>
        <w:drawing>
          <wp:inline distT="0" distB="0" distL="0" distR="0" wp14:anchorId="4FA71974" wp14:editId="236BF2FF">
            <wp:extent cx="5400040" cy="2969260"/>
            <wp:effectExtent l="0" t="0" r="0" b="2540"/>
            <wp:docPr id="8" name="Imagen 8"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Gráfico, Gráfico de líneas&#10;&#10;El contenido generado por IA puede ser incorrecto."/>
                    <pic:cNvPicPr/>
                  </pic:nvPicPr>
                  <pic:blipFill rotWithShape="1">
                    <a:blip r:embed="rId27">
                      <a:extLst>
                        <a:ext uri="{28A0092B-C50C-407E-A947-70E740481C1C}">
                          <a14:useLocalDpi xmlns:a14="http://schemas.microsoft.com/office/drawing/2010/main" val="0"/>
                        </a:ext>
                      </a:extLst>
                    </a:blip>
                    <a:srcRect t="8344"/>
                    <a:stretch/>
                  </pic:blipFill>
                  <pic:spPr bwMode="auto">
                    <a:xfrm>
                      <a:off x="0" y="0"/>
                      <a:ext cx="5400040" cy="2969260"/>
                    </a:xfrm>
                    <a:prstGeom prst="rect">
                      <a:avLst/>
                    </a:prstGeom>
                    <a:ln>
                      <a:noFill/>
                    </a:ln>
                    <a:extLst>
                      <a:ext uri="{53640926-AAD7-44D8-BBD7-CCE9431645EC}">
                        <a14:shadowObscured xmlns:a14="http://schemas.microsoft.com/office/drawing/2010/main"/>
                      </a:ext>
                    </a:extLst>
                  </pic:spPr>
                </pic:pic>
              </a:graphicData>
            </a:graphic>
          </wp:inline>
        </w:drawing>
      </w:r>
    </w:p>
    <w:p w14:paraId="2BDF7B7F" w14:textId="77777777" w:rsidR="00985FCF" w:rsidRPr="00985FCF" w:rsidRDefault="00985FCF" w:rsidP="0057742B">
      <w:pPr>
        <w:spacing w:after="120" w:line="240" w:lineRule="auto"/>
        <w:jc w:val="center"/>
        <w:rPr>
          <w:rFonts w:ascii="Times New Roman" w:hAnsi="Times New Roman" w:cs="Times New Roman"/>
          <w:sz w:val="24"/>
          <w:szCs w:val="24"/>
        </w:rPr>
      </w:pPr>
      <w:r w:rsidRPr="00985FCF">
        <w:rPr>
          <w:rFonts w:ascii="Times New Roman" w:hAnsi="Times New Roman" w:cs="Times New Roman"/>
          <w:sz w:val="24"/>
          <w:szCs w:val="24"/>
        </w:rPr>
        <w:t>Figura 6. Evolución temporal del Índice de Rentabilidad Forestal (IRF) durante el período 2013-2024 procesados mediante DeepSeek IA-V3.</w:t>
      </w:r>
    </w:p>
    <w:p w14:paraId="379181FE" w14:textId="72C2ECF3"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La integración de los hallazgos del Índice de Rentabilidad Financiera (IRF) en la UEB Silvícola Guisa revela una estabilidad artificial </w:t>
      </w:r>
      <w:r w:rsidR="007D3360">
        <w:rPr>
          <w:rFonts w:ascii="Times New Roman" w:hAnsi="Times New Roman" w:cs="Times New Roman"/>
          <w:sz w:val="24"/>
          <w:szCs w:val="24"/>
        </w:rPr>
        <w:t>que enmascara</w:t>
      </w:r>
      <w:r w:rsidR="007D3360" w:rsidRPr="00985FCF">
        <w:rPr>
          <w:rFonts w:ascii="Times New Roman" w:hAnsi="Times New Roman" w:cs="Times New Roman"/>
          <w:sz w:val="24"/>
          <w:szCs w:val="24"/>
        </w:rPr>
        <w:t xml:space="preserve"> </w:t>
      </w:r>
      <w:r w:rsidRPr="00985FCF">
        <w:rPr>
          <w:rFonts w:ascii="Times New Roman" w:hAnsi="Times New Roman" w:cs="Times New Roman"/>
          <w:sz w:val="24"/>
          <w:szCs w:val="24"/>
        </w:rPr>
        <w:t>la degradación ecológica subyacente con el marco de presupuesto de capital sostenible propuesto por Nurfitriani &amp; Nazarudin (2025)</w:t>
      </w:r>
      <w:r w:rsidR="007D3360">
        <w:rPr>
          <w:rFonts w:ascii="Times New Roman" w:hAnsi="Times New Roman" w:cs="Times New Roman"/>
          <w:sz w:val="24"/>
          <w:szCs w:val="24"/>
        </w:rPr>
        <w:t>.</w:t>
      </w:r>
      <w:r w:rsidR="007D3360" w:rsidRPr="007D3360">
        <w:t xml:space="preserve"> </w:t>
      </w:r>
      <w:r w:rsidR="007D3360" w:rsidRPr="007D3360">
        <w:rPr>
          <w:rFonts w:ascii="Times New Roman" w:hAnsi="Times New Roman" w:cs="Times New Roman"/>
          <w:sz w:val="24"/>
          <w:szCs w:val="24"/>
        </w:rPr>
        <w:t>Este hecho evidencia</w:t>
      </w:r>
      <w:r w:rsidRPr="00985FCF">
        <w:rPr>
          <w:rFonts w:ascii="Times New Roman" w:hAnsi="Times New Roman" w:cs="Times New Roman"/>
          <w:sz w:val="24"/>
          <w:szCs w:val="24"/>
        </w:rPr>
        <w:t xml:space="preserve"> la urgencia de transitar hacia modelos económicos que internalicen dimensiones ambientales, sociales y de gobernanza (EESG) en la evaluación de proyectos forestales.</w:t>
      </w:r>
    </w:p>
    <w:p w14:paraId="6434B25B" w14:textId="6D279BF2"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Mientras el IRF refleja una desconexión crítica entre la rentabilidad financiera y la resiliencia ecosistémica, el estudio de presupuesto sostenible demuestra que la incorporación de criterios multidimensionales</w:t>
      </w:r>
      <w:r w:rsidR="00030A13">
        <w:rPr>
          <w:rFonts w:ascii="Times New Roman" w:hAnsi="Times New Roman" w:cs="Times New Roman"/>
          <w:sz w:val="24"/>
          <w:szCs w:val="24"/>
        </w:rPr>
        <w:t xml:space="preserve">, </w:t>
      </w:r>
      <w:r w:rsidRPr="00985FCF">
        <w:rPr>
          <w:rFonts w:ascii="Times New Roman" w:hAnsi="Times New Roman" w:cs="Times New Roman"/>
          <w:sz w:val="24"/>
          <w:szCs w:val="24"/>
        </w:rPr>
        <w:t xml:space="preserve">mediante métricas como el </w:t>
      </w:r>
      <w:r w:rsidRPr="00030A13">
        <w:rPr>
          <w:rFonts w:ascii="Times New Roman" w:hAnsi="Times New Roman" w:cs="Times New Roman"/>
          <w:i/>
          <w:iCs/>
          <w:sz w:val="24"/>
          <w:szCs w:val="24"/>
        </w:rPr>
        <w:t>Sustainability Net Present Value</w:t>
      </w:r>
      <w:r w:rsidRPr="00985FCF">
        <w:rPr>
          <w:rFonts w:ascii="Times New Roman" w:hAnsi="Times New Roman" w:cs="Times New Roman"/>
          <w:sz w:val="24"/>
          <w:szCs w:val="24"/>
        </w:rPr>
        <w:t xml:space="preserve"> (SNPV)</w:t>
      </w:r>
      <w:r w:rsidR="00030A13">
        <w:rPr>
          <w:rFonts w:ascii="Times New Roman" w:hAnsi="Times New Roman" w:cs="Times New Roman"/>
          <w:sz w:val="24"/>
          <w:szCs w:val="24"/>
        </w:rPr>
        <w:t>, que</w:t>
      </w:r>
      <w:r w:rsidRPr="00985FCF">
        <w:rPr>
          <w:rFonts w:ascii="Times New Roman" w:hAnsi="Times New Roman" w:cs="Times New Roman"/>
          <w:sz w:val="24"/>
          <w:szCs w:val="24"/>
        </w:rPr>
        <w:t xml:space="preserve"> permite capturar el valor real de los servicios ecosistémicos (carbono, biodiversidad) </w:t>
      </w:r>
      <w:r w:rsidR="007D3360" w:rsidRPr="007D3360">
        <w:rPr>
          <w:rFonts w:ascii="Times New Roman" w:hAnsi="Times New Roman" w:cs="Times New Roman"/>
          <w:sz w:val="24"/>
          <w:szCs w:val="24"/>
        </w:rPr>
        <w:t xml:space="preserve">y los costes </w:t>
      </w:r>
      <w:r w:rsidR="007D3360" w:rsidRPr="007D3360">
        <w:rPr>
          <w:rFonts w:ascii="Times New Roman" w:hAnsi="Times New Roman" w:cs="Times New Roman"/>
          <w:sz w:val="24"/>
          <w:szCs w:val="24"/>
        </w:rPr>
        <w:lastRenderedPageBreak/>
        <w:t>por degradación, resulta esencial para la toma de decisiones informadas que contribuyan a la sostenibilidad medioambiental.</w:t>
      </w:r>
      <w:r w:rsidR="007D3360">
        <w:rPr>
          <w:rFonts w:ascii="Times New Roman" w:hAnsi="Times New Roman" w:cs="Times New Roman"/>
          <w:sz w:val="24"/>
          <w:szCs w:val="24"/>
        </w:rPr>
        <w:t xml:space="preserve"> </w:t>
      </w:r>
      <w:r w:rsidRPr="00985FCF">
        <w:rPr>
          <w:rFonts w:ascii="Times New Roman" w:hAnsi="Times New Roman" w:cs="Times New Roman"/>
          <w:sz w:val="24"/>
          <w:szCs w:val="24"/>
        </w:rPr>
        <w:t>.</w:t>
      </w:r>
    </w:p>
    <w:p w14:paraId="65DBA355" w14:textId="77777777" w:rsidR="0057742B" w:rsidRDefault="007D3360" w:rsidP="00F518F0">
      <w:pPr>
        <w:spacing w:after="120" w:line="360" w:lineRule="auto"/>
        <w:jc w:val="both"/>
        <w:rPr>
          <w:rFonts w:ascii="Times New Roman" w:hAnsi="Times New Roman" w:cs="Times New Roman"/>
          <w:noProof/>
          <w:sz w:val="24"/>
          <w:szCs w:val="24"/>
        </w:rPr>
      </w:pPr>
      <w:r w:rsidRPr="007D3360">
        <w:rPr>
          <w:rFonts w:ascii="Times New Roman" w:hAnsi="Times New Roman" w:cs="Times New Roman"/>
          <w:sz w:val="24"/>
          <w:szCs w:val="24"/>
        </w:rPr>
        <w:t>La presente investigación aborda la relevancia de la sinergia metodológica en el contexto del municipio de Guisa, donde el Fondo Nacional de Desarrollo Forestal (FONADEF) enfrenta la necesidad de reformular sus mecanismos de financiamiento para incorporar incentivos basados en el desempeño. Estos incentivos, a su vez, deben estar alineados con los casos de éxito documentados en el estudio realizado por los autores, los cuales se centran en proyectos de infraestructura hídrica y economía circular.</w:t>
      </w:r>
      <w:r>
        <w:rPr>
          <w:rFonts w:ascii="Times New Roman" w:hAnsi="Times New Roman" w:cs="Times New Roman"/>
          <w:sz w:val="24"/>
          <w:szCs w:val="24"/>
        </w:rPr>
        <w:t xml:space="preserve"> </w:t>
      </w:r>
      <w:r w:rsidRPr="007D3360">
        <w:rPr>
          <w:rFonts w:ascii="Times New Roman" w:hAnsi="Times New Roman" w:cs="Times New Roman"/>
          <w:sz w:val="24"/>
          <w:szCs w:val="24"/>
        </w:rPr>
        <w:t>El Índice de Impacto de la Producción Forestal (IIPF) evidencia una disminución drástica y estadísticamente significativa (R² = 0,72; p&lt; 0,01), con valores que descienden desde 0,01 (2013-2015) hasta 0,00 (2016-2024). Esta tendencia se encuentra directamente relacionada con la caída del Índice de Producción Maderera (IPM) (r = 0,89), lo que confirma que la disminución del impacto ambiental es consecuencia inmediata de la contracción productiva y no de mejoras en la sostenibilidad operativa.</w:t>
      </w:r>
      <w:r>
        <w:rPr>
          <w:rFonts w:ascii="Times New Roman" w:hAnsi="Times New Roman" w:cs="Times New Roman"/>
          <w:sz w:val="24"/>
          <w:szCs w:val="24"/>
        </w:rPr>
        <w:t xml:space="preserve"> </w:t>
      </w:r>
      <w:r w:rsidRPr="007D3360">
        <w:rPr>
          <w:rFonts w:ascii="Times New Roman" w:hAnsi="Times New Roman" w:cs="Times New Roman"/>
          <w:sz w:val="24"/>
          <w:szCs w:val="24"/>
        </w:rPr>
        <w:t>Este hallazgo sugiere que la disminución del impacto ambiental se atribuye principalmente a la inactividad productiva, en lugar de a la aplicación de prácticas de manejo forestal eco-eficientes. La ausencia de impacto post-2015 sugiere que la escala de aprovechamiento actual es mínima, pero también revela una oportunidad perdida para desarrollar modelos de producción de bajo impacto. En términos estadísticos, la fuerte autocorrelación serial sugiere que el impacto anual se encuentra significativamente influenciado por la intensidad productiva del año previo, fortaleciendo así la relación lineal entre la producción y la perturbación ecológica.</w:t>
      </w:r>
      <w:r>
        <w:rPr>
          <w:rFonts w:ascii="Times New Roman" w:hAnsi="Times New Roman" w:cs="Times New Roman"/>
          <w:sz w:val="24"/>
          <w:szCs w:val="24"/>
        </w:rPr>
        <w:t xml:space="preserve"> </w:t>
      </w:r>
      <w:r w:rsidRPr="007D3360">
        <w:rPr>
          <w:rFonts w:ascii="Times New Roman" w:hAnsi="Times New Roman" w:cs="Times New Roman"/>
          <w:sz w:val="24"/>
          <w:szCs w:val="24"/>
        </w:rPr>
        <w:t>La reducción del IIPF a cero evidencia que, si bien la presión ambiental directa ha experimentado una disminución, este resultado se ha logrado mediante el colapso productivo, en lugar de mediante la transición hacia un modelo forestal sostenible. Este fenómeno da lugar a una percepción errónea en lo que respecta a la sostenibilidad ambiental, ocultando la imperativa necesidad de innovar en técnicas de aprovechamiento de bajo impacto (por ejemplo, el manejo silvícola sostenible y las tecnologías de cosecha reducida). La hipótesis de este estudio se centra en la premisa de que la reactivación de la producción sin una revisión y modificación de los métodos actuales podría resultar en un incremento significativo y repentino en el impacto ambiental, replicando los patrones observados antes del año 2016.</w:t>
      </w:r>
      <w:r>
        <w:rPr>
          <w:rFonts w:ascii="Times New Roman" w:hAnsi="Times New Roman" w:cs="Times New Roman"/>
          <w:sz w:val="24"/>
          <w:szCs w:val="24"/>
        </w:rPr>
        <w:t xml:space="preserve"> </w:t>
      </w:r>
      <w:r w:rsidR="00985FCF" w:rsidRPr="00985FCF">
        <w:rPr>
          <w:rFonts w:ascii="Times New Roman" w:hAnsi="Times New Roman" w:cs="Times New Roman"/>
          <w:sz w:val="24"/>
          <w:szCs w:val="24"/>
        </w:rPr>
        <w:t xml:space="preserve">Además, la desconexión entre el IIPF y otros indicadores de resiliencia (capacidad de carga ICCF_carga) sugiere que el ecosistema permanece vulnerable incluso con impacto mínimo. </w:t>
      </w:r>
      <w:r w:rsidRPr="007D3360">
        <w:rPr>
          <w:rFonts w:ascii="Times New Roman" w:hAnsi="Times New Roman" w:cs="Times New Roman"/>
          <w:sz w:val="24"/>
          <w:szCs w:val="24"/>
        </w:rPr>
        <w:t xml:space="preserve">Se evidencia la necesidad imperante de integrar el IIPF con métricas de </w:t>
      </w:r>
      <w:r w:rsidRPr="007D3360">
        <w:rPr>
          <w:rFonts w:ascii="Times New Roman" w:hAnsi="Times New Roman" w:cs="Times New Roman"/>
          <w:sz w:val="24"/>
          <w:szCs w:val="24"/>
        </w:rPr>
        <w:lastRenderedPageBreak/>
        <w:t>recuperación ecológica y diseñar protocolos que permitan la producción activa con impacto controlado, garantizando que la futura actividad forestal opere dentro de los límites ecológicos del bosque.</w:t>
      </w:r>
      <w:r w:rsidR="0057742B" w:rsidRPr="0057742B">
        <w:rPr>
          <w:rFonts w:ascii="Times New Roman" w:hAnsi="Times New Roman" w:cs="Times New Roman"/>
          <w:noProof/>
          <w:sz w:val="24"/>
          <w:szCs w:val="24"/>
        </w:rPr>
        <w:t xml:space="preserve"> </w:t>
      </w:r>
    </w:p>
    <w:p w14:paraId="3764DF09" w14:textId="743E1C54" w:rsidR="00985FCF" w:rsidRPr="00985FCF" w:rsidRDefault="0057742B" w:rsidP="006F142B">
      <w:pPr>
        <w:spacing w:after="120" w:line="360" w:lineRule="auto"/>
        <w:jc w:val="center"/>
        <w:rPr>
          <w:rFonts w:ascii="Times New Roman" w:hAnsi="Times New Roman" w:cs="Times New Roman"/>
          <w:sz w:val="24"/>
          <w:szCs w:val="24"/>
        </w:rPr>
      </w:pPr>
      <w:r w:rsidRPr="00985FCF">
        <w:rPr>
          <w:rFonts w:ascii="Times New Roman" w:hAnsi="Times New Roman" w:cs="Times New Roman"/>
          <w:noProof/>
          <w:sz w:val="24"/>
          <w:szCs w:val="24"/>
        </w:rPr>
        <w:drawing>
          <wp:inline distT="0" distB="0" distL="0" distR="0" wp14:anchorId="0019DFA5" wp14:editId="7BA57715">
            <wp:extent cx="5400040" cy="2969260"/>
            <wp:effectExtent l="0" t="0" r="0" b="2540"/>
            <wp:docPr id="9" name="Imagen 9"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Gráfico, Gráfico de líneas&#10;&#10;El contenido generado por IA puede ser incorrecto."/>
                    <pic:cNvPicPr/>
                  </pic:nvPicPr>
                  <pic:blipFill rotWithShape="1">
                    <a:blip r:embed="rId28">
                      <a:extLst>
                        <a:ext uri="{28A0092B-C50C-407E-A947-70E740481C1C}">
                          <a14:useLocalDpi xmlns:a14="http://schemas.microsoft.com/office/drawing/2010/main" val="0"/>
                        </a:ext>
                      </a:extLst>
                    </a:blip>
                    <a:srcRect t="8344"/>
                    <a:stretch/>
                  </pic:blipFill>
                  <pic:spPr bwMode="auto">
                    <a:xfrm>
                      <a:off x="0" y="0"/>
                      <a:ext cx="5400040" cy="2969260"/>
                    </a:xfrm>
                    <a:prstGeom prst="rect">
                      <a:avLst/>
                    </a:prstGeom>
                    <a:ln>
                      <a:noFill/>
                    </a:ln>
                    <a:extLst>
                      <a:ext uri="{53640926-AAD7-44D8-BBD7-CCE9431645EC}">
                        <a14:shadowObscured xmlns:a14="http://schemas.microsoft.com/office/drawing/2010/main"/>
                      </a:ext>
                    </a:extLst>
                  </pic:spPr>
                </pic:pic>
              </a:graphicData>
            </a:graphic>
          </wp:inline>
        </w:drawing>
      </w:r>
    </w:p>
    <w:p w14:paraId="33CD2DDE" w14:textId="77777777" w:rsidR="00985FCF" w:rsidRPr="00985FCF" w:rsidRDefault="00985FCF" w:rsidP="0057742B">
      <w:pPr>
        <w:spacing w:after="120" w:line="240" w:lineRule="auto"/>
        <w:jc w:val="center"/>
        <w:rPr>
          <w:rFonts w:ascii="Times New Roman" w:hAnsi="Times New Roman" w:cs="Times New Roman"/>
          <w:sz w:val="24"/>
          <w:szCs w:val="24"/>
        </w:rPr>
      </w:pPr>
      <w:r w:rsidRPr="00985FCF">
        <w:rPr>
          <w:rFonts w:ascii="Times New Roman" w:hAnsi="Times New Roman" w:cs="Times New Roman"/>
          <w:sz w:val="24"/>
          <w:szCs w:val="24"/>
        </w:rPr>
        <w:t>Figura 7. Evolución temporal del Índice de Impacto de la Producción Forestal (IIPF) durante el período 2013-2024 procesados mediante DeepSeek IA-V3.</w:t>
      </w:r>
    </w:p>
    <w:p w14:paraId="70FEA648" w14:textId="77777777" w:rsidR="006F142B" w:rsidRDefault="007D3360" w:rsidP="00F518F0">
      <w:pPr>
        <w:spacing w:after="120" w:line="360" w:lineRule="auto"/>
        <w:jc w:val="both"/>
        <w:rPr>
          <w:rFonts w:ascii="Times New Roman" w:hAnsi="Times New Roman" w:cs="Times New Roman"/>
          <w:sz w:val="24"/>
          <w:szCs w:val="24"/>
        </w:rPr>
      </w:pPr>
      <w:r w:rsidRPr="007D3360">
        <w:rPr>
          <w:rFonts w:ascii="Times New Roman" w:hAnsi="Times New Roman" w:cs="Times New Roman"/>
          <w:sz w:val="24"/>
          <w:szCs w:val="24"/>
        </w:rPr>
        <w:t>La significativa disminución del Índice de Impacto de la Producción Forestal (IIPF) (R² = 0,72; p &lt; 0,01), que refleja una reducción cercana a valores nulos después de 2016 como resultado del colapso productivo y no de mejoras en sostenibilidad, encuentra un contrapunto crítico en el estudio sobre derechos de aprovechamiento forestal en Kenia. El IIPF evidencia una desconexión entre la inactividad productiva y la sostenibilidad real, mientras que la investigación keniana llevada a cabo por</w:t>
      </w:r>
      <w:r>
        <w:rPr>
          <w:rFonts w:ascii="Times New Roman" w:hAnsi="Times New Roman" w:cs="Times New Roman"/>
          <w:sz w:val="24"/>
          <w:szCs w:val="24"/>
        </w:rPr>
        <w:t xml:space="preserve"> </w:t>
      </w:r>
      <w:r w:rsidR="00985FCF" w:rsidRPr="00985FCF">
        <w:rPr>
          <w:rFonts w:ascii="Times New Roman" w:hAnsi="Times New Roman" w:cs="Times New Roman"/>
          <w:sz w:val="24"/>
          <w:szCs w:val="24"/>
        </w:rPr>
        <w:t xml:space="preserve"> Chisika &amp; Yeom (2025) </w:t>
      </w:r>
      <w:r w:rsidRPr="007D3360">
        <w:rPr>
          <w:rFonts w:ascii="Times New Roman" w:hAnsi="Times New Roman" w:cs="Times New Roman"/>
          <w:sz w:val="24"/>
          <w:szCs w:val="24"/>
        </w:rPr>
        <w:t>demuestra que la seguridad en los derechos de aprovechamiento, a través de marcos legales claros, incentiva las inversiones en silvicultura sostenible y conservación por parte de propietarios privados.</w:t>
      </w:r>
      <w:r>
        <w:rPr>
          <w:rFonts w:ascii="Times New Roman" w:hAnsi="Times New Roman" w:cs="Times New Roman"/>
          <w:sz w:val="24"/>
          <w:szCs w:val="24"/>
        </w:rPr>
        <w:t xml:space="preserve"> </w:t>
      </w:r>
      <w:r w:rsidRPr="007D3360">
        <w:rPr>
          <w:rFonts w:ascii="Times New Roman" w:hAnsi="Times New Roman" w:cs="Times New Roman"/>
          <w:sz w:val="24"/>
          <w:szCs w:val="24"/>
        </w:rPr>
        <w:t>La sinergia entre ambos resultados se manifiesta en la evidencia de que es imperativo transitar desde modelos extractivos tradicionales hacia sistemas que integren incentivos económicos y ecológicos. El IIPF revela que la mera reducción de la producción no garantiza la sostenibilidad. Por su parte, el estudio realizado por los autores anteriormente mencionados propone que los derechos de aprovechamiento, cuando están adecuadamente diseñados, pueden fomentar prácticas de bajo impacto, tales como el manejo silvícola comunitario y la agroforestería.</w:t>
      </w:r>
      <w:r>
        <w:rPr>
          <w:rFonts w:ascii="Times New Roman" w:hAnsi="Times New Roman" w:cs="Times New Roman"/>
          <w:sz w:val="24"/>
          <w:szCs w:val="24"/>
        </w:rPr>
        <w:t xml:space="preserve"> </w:t>
      </w:r>
      <w:r w:rsidRPr="007D3360">
        <w:rPr>
          <w:rFonts w:ascii="Times New Roman" w:hAnsi="Times New Roman" w:cs="Times New Roman"/>
          <w:sz w:val="24"/>
          <w:szCs w:val="24"/>
        </w:rPr>
        <w:t xml:space="preserve">La integración de estos enfoques propiciaría la creación </w:t>
      </w:r>
      <w:r w:rsidRPr="007D3360">
        <w:rPr>
          <w:rFonts w:ascii="Times New Roman" w:hAnsi="Times New Roman" w:cs="Times New Roman"/>
          <w:sz w:val="24"/>
          <w:szCs w:val="24"/>
        </w:rPr>
        <w:lastRenderedPageBreak/>
        <w:t>de un marco holístico en el que la reactivación productiva se articule con la resiliencia ecosistémica, empleando métricas como el IIPF para la supervisión de impactos y políticas de derechos con el propósito de fomentar inversiones en conservación activa. Esta aproximación evitaría la percepción errónea de sostenibilidad y garantizaría beneficios económicos y ambientales a largo plazo.</w:t>
      </w:r>
      <w:r>
        <w:rPr>
          <w:rFonts w:ascii="Times New Roman" w:hAnsi="Times New Roman" w:cs="Times New Roman"/>
          <w:sz w:val="24"/>
          <w:szCs w:val="24"/>
        </w:rPr>
        <w:t xml:space="preserve"> </w:t>
      </w:r>
      <w:r w:rsidR="00985FCF" w:rsidRPr="00985FCF">
        <w:rPr>
          <w:rFonts w:ascii="Times New Roman" w:hAnsi="Times New Roman" w:cs="Times New Roman"/>
          <w:sz w:val="24"/>
          <w:szCs w:val="24"/>
        </w:rPr>
        <w:t>El IPF evidencia una contracción estructural (valores ≈ 0</w:t>
      </w:r>
      <w:r w:rsidR="00030A13">
        <w:rPr>
          <w:rFonts w:ascii="Times New Roman" w:hAnsi="Times New Roman" w:cs="Times New Roman"/>
          <w:sz w:val="24"/>
          <w:szCs w:val="24"/>
        </w:rPr>
        <w:t>,</w:t>
      </w:r>
      <w:r w:rsidR="00985FCF" w:rsidRPr="00985FCF">
        <w:rPr>
          <w:rFonts w:ascii="Times New Roman" w:hAnsi="Times New Roman" w:cs="Times New Roman"/>
          <w:sz w:val="24"/>
          <w:szCs w:val="24"/>
        </w:rPr>
        <w:t>00 desde 2016; R² = 0</w:t>
      </w:r>
      <w:r w:rsidR="00030A13">
        <w:rPr>
          <w:rFonts w:ascii="Times New Roman" w:hAnsi="Times New Roman" w:cs="Times New Roman"/>
          <w:sz w:val="24"/>
          <w:szCs w:val="24"/>
        </w:rPr>
        <w:t>,</w:t>
      </w:r>
      <w:r w:rsidR="00985FCF" w:rsidRPr="00985FCF">
        <w:rPr>
          <w:rFonts w:ascii="Times New Roman" w:hAnsi="Times New Roman" w:cs="Times New Roman"/>
          <w:sz w:val="24"/>
          <w:szCs w:val="24"/>
        </w:rPr>
        <w:t xml:space="preserve">72), directamente correlacionada con la caída de la producción maderera (IPM) e impacto ambiental (IIPF) (Figura 8). </w:t>
      </w:r>
      <w:r w:rsidRPr="007D3360">
        <w:rPr>
          <w:rFonts w:ascii="Times New Roman" w:hAnsi="Times New Roman" w:cs="Times New Roman"/>
          <w:sz w:val="24"/>
          <w:szCs w:val="24"/>
        </w:rPr>
        <w:t>En esencia, evidencia una carencia de dinamismo en la productividad —más que un incremento en la eficiencia—, lo que compromete la viabilidad económica a largo plazo. La desconexión con la rentabilidad (IRF) sugiere distorsiones en el modelo económico. Es imperativo implementar prácticas de silvicultura de precisión y manejo forestal de alto valor, con el fin de reactivar la productividad sin ampliar la huella ecológica, buscando la conciliación entre objetivos económicos y ambientales.</w:t>
      </w:r>
      <w:r>
        <w:rPr>
          <w:rFonts w:ascii="Times New Roman" w:hAnsi="Times New Roman" w:cs="Times New Roman"/>
          <w:sz w:val="24"/>
          <w:szCs w:val="24"/>
        </w:rPr>
        <w:t xml:space="preserve"> </w:t>
      </w:r>
    </w:p>
    <w:p w14:paraId="4D2ADD38" w14:textId="64A38A54" w:rsidR="00985FCF" w:rsidRPr="00985FCF" w:rsidRDefault="00985FCF" w:rsidP="006F142B">
      <w:pPr>
        <w:spacing w:after="120" w:line="360" w:lineRule="auto"/>
        <w:jc w:val="center"/>
        <w:rPr>
          <w:rFonts w:ascii="Times New Roman" w:hAnsi="Times New Roman" w:cs="Times New Roman"/>
          <w:sz w:val="24"/>
          <w:szCs w:val="24"/>
        </w:rPr>
      </w:pPr>
      <w:r w:rsidRPr="00985FCF">
        <w:rPr>
          <w:rFonts w:ascii="Times New Roman" w:hAnsi="Times New Roman" w:cs="Times New Roman"/>
          <w:noProof/>
          <w:sz w:val="24"/>
          <w:szCs w:val="24"/>
        </w:rPr>
        <w:drawing>
          <wp:inline distT="0" distB="0" distL="0" distR="0" wp14:anchorId="6CA895E2" wp14:editId="2726C774">
            <wp:extent cx="5400040" cy="2976880"/>
            <wp:effectExtent l="0" t="0" r="0" b="0"/>
            <wp:docPr id="10" name="Imagen 10"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Gráfico, Gráfico de líneas&#10;&#10;El contenido generado por IA puede ser incorrecto."/>
                    <pic:cNvPicPr/>
                  </pic:nvPicPr>
                  <pic:blipFill rotWithShape="1">
                    <a:blip r:embed="rId29">
                      <a:extLst>
                        <a:ext uri="{28A0092B-C50C-407E-A947-70E740481C1C}">
                          <a14:useLocalDpi xmlns:a14="http://schemas.microsoft.com/office/drawing/2010/main" val="0"/>
                        </a:ext>
                      </a:extLst>
                    </a:blip>
                    <a:srcRect t="8099"/>
                    <a:stretch/>
                  </pic:blipFill>
                  <pic:spPr bwMode="auto">
                    <a:xfrm>
                      <a:off x="0" y="0"/>
                      <a:ext cx="5400040" cy="2976880"/>
                    </a:xfrm>
                    <a:prstGeom prst="rect">
                      <a:avLst/>
                    </a:prstGeom>
                    <a:ln>
                      <a:noFill/>
                    </a:ln>
                    <a:extLst>
                      <a:ext uri="{53640926-AAD7-44D8-BBD7-CCE9431645EC}">
                        <a14:shadowObscured xmlns:a14="http://schemas.microsoft.com/office/drawing/2010/main"/>
                      </a:ext>
                    </a:extLst>
                  </pic:spPr>
                </pic:pic>
              </a:graphicData>
            </a:graphic>
          </wp:inline>
        </w:drawing>
      </w:r>
    </w:p>
    <w:p w14:paraId="00757FFE" w14:textId="77777777" w:rsidR="00985FCF" w:rsidRPr="00985FCF" w:rsidRDefault="00985FCF" w:rsidP="0057742B">
      <w:pPr>
        <w:spacing w:after="120" w:line="240" w:lineRule="auto"/>
        <w:jc w:val="center"/>
        <w:rPr>
          <w:rFonts w:ascii="Times New Roman" w:hAnsi="Times New Roman" w:cs="Times New Roman"/>
          <w:sz w:val="24"/>
          <w:szCs w:val="24"/>
        </w:rPr>
      </w:pPr>
      <w:r w:rsidRPr="00985FCF">
        <w:rPr>
          <w:rFonts w:ascii="Times New Roman" w:hAnsi="Times New Roman" w:cs="Times New Roman"/>
          <w:sz w:val="24"/>
          <w:szCs w:val="24"/>
        </w:rPr>
        <w:t>Figura 8. Evolución temporal del Índice de la Productividad Forestal (IPF) durante el período 2013-2024 procesados mediante DeepSeek IA-V3.</w:t>
      </w:r>
    </w:p>
    <w:p w14:paraId="0D348F85" w14:textId="2B293CE7" w:rsidR="00985FCF" w:rsidRPr="00985FCF" w:rsidRDefault="000470B0" w:rsidP="00F518F0">
      <w:pPr>
        <w:spacing w:after="120" w:line="360" w:lineRule="auto"/>
        <w:jc w:val="both"/>
        <w:rPr>
          <w:rFonts w:ascii="Times New Roman" w:hAnsi="Times New Roman" w:cs="Times New Roman"/>
          <w:sz w:val="24"/>
          <w:szCs w:val="24"/>
        </w:rPr>
      </w:pPr>
      <w:r w:rsidRPr="000470B0">
        <w:rPr>
          <w:rFonts w:ascii="Times New Roman" w:hAnsi="Times New Roman" w:cs="Times New Roman"/>
          <w:sz w:val="24"/>
          <w:szCs w:val="24"/>
        </w:rPr>
        <w:t xml:space="preserve">La considerable disminución del IIPF (R² = 0,72; p &lt; 0,01) a valores cercanos a cero desde el año 2016 concuerda con el patrón documentado por Shan et al. (2025), en el cual los bosques maduros manifiestan una menor estabilidad productiva como resultado de la pérdida de diversidad funcional. La fuerte autocorrelación serial del IIPF (lag-1 = 0,65) refleja la dependencia temporal documentada en el estudio, en el que se evidencia que la menor asincronía entre especies reduce </w:t>
      </w:r>
      <w:r w:rsidRPr="000470B0">
        <w:rPr>
          <w:rFonts w:ascii="Times New Roman" w:hAnsi="Times New Roman" w:cs="Times New Roman"/>
          <w:sz w:val="24"/>
          <w:szCs w:val="24"/>
        </w:rPr>
        <w:lastRenderedPageBreak/>
        <w:t>la resiliencia ante perturbaciones. Estos hallazgos ponen en tela de juicio la sostenibilidad auténtica de la inactividad productiva, sugiriendo que el colapso operativo podría estar ocultando un deterioro ecológico progresivo.</w:t>
      </w:r>
      <w:r>
        <w:rPr>
          <w:rFonts w:ascii="Times New Roman" w:hAnsi="Times New Roman" w:cs="Times New Roman"/>
          <w:sz w:val="24"/>
          <w:szCs w:val="24"/>
        </w:rPr>
        <w:t xml:space="preserve"> </w:t>
      </w:r>
      <w:r w:rsidRPr="000470B0">
        <w:rPr>
          <w:rFonts w:ascii="Times New Roman" w:hAnsi="Times New Roman" w:cs="Times New Roman"/>
          <w:sz w:val="24"/>
          <w:szCs w:val="24"/>
        </w:rPr>
        <w:t>En primer lugar, es necesario señalar que la significativa disminución del IIPF se relaciona con las investigaciones llevadas a cabo por Tijerín-Triviño et al. (2025), en las cuales se concluye que alteraciones estructurales y ambientales, tales como el estrés térmico, tienen un impacto negativo en la productividad de los recursos forestales, independientemente de la intervención antopogénica. La correlación IIPF-IPM (r = 0,89) confirma que la disminución del impacto ambiental deriva principalmente del colapso productivo, no de mejoras en eficiencia ecológica. Este paralelismo subraya la importancia de incorporar variables climáticas en los índices de impacto con el fin de evitar interpretaciones erróneas en lo que respecta a la sostenibilidad.</w:t>
      </w:r>
      <w:r>
        <w:rPr>
          <w:rFonts w:ascii="Times New Roman" w:hAnsi="Times New Roman" w:cs="Times New Roman"/>
          <w:sz w:val="24"/>
          <w:szCs w:val="24"/>
        </w:rPr>
        <w:t xml:space="preserve"> </w:t>
      </w:r>
      <w:r w:rsidR="00985FCF" w:rsidRPr="00985FCF">
        <w:rPr>
          <w:rFonts w:ascii="Times New Roman" w:hAnsi="Times New Roman" w:cs="Times New Roman"/>
          <w:sz w:val="24"/>
          <w:szCs w:val="24"/>
        </w:rPr>
        <w:t>El análisis integrado de los indicadores forestales evaluados evidencia su valor científico al identificar patrones críticos de degradación mediante modelos estadísticos robustos (R² = 0</w:t>
      </w:r>
      <w:r w:rsidR="00253CA5">
        <w:rPr>
          <w:rFonts w:ascii="Times New Roman" w:hAnsi="Times New Roman" w:cs="Times New Roman"/>
          <w:sz w:val="24"/>
          <w:szCs w:val="24"/>
        </w:rPr>
        <w:t>,</w:t>
      </w:r>
      <w:r w:rsidR="00985FCF" w:rsidRPr="00985FCF">
        <w:rPr>
          <w:rFonts w:ascii="Times New Roman" w:hAnsi="Times New Roman" w:cs="Times New Roman"/>
          <w:sz w:val="24"/>
          <w:szCs w:val="24"/>
        </w:rPr>
        <w:t>45-0</w:t>
      </w:r>
      <w:r w:rsidR="00253CA5">
        <w:rPr>
          <w:rFonts w:ascii="Times New Roman" w:hAnsi="Times New Roman" w:cs="Times New Roman"/>
          <w:sz w:val="24"/>
          <w:szCs w:val="24"/>
        </w:rPr>
        <w:t>,</w:t>
      </w:r>
      <w:r w:rsidR="00985FCF" w:rsidRPr="00985FCF">
        <w:rPr>
          <w:rFonts w:ascii="Times New Roman" w:hAnsi="Times New Roman" w:cs="Times New Roman"/>
          <w:sz w:val="24"/>
          <w:szCs w:val="24"/>
        </w:rPr>
        <w:t>89; p &lt; 0</w:t>
      </w:r>
      <w:r w:rsidR="00253CA5">
        <w:rPr>
          <w:rFonts w:ascii="Times New Roman" w:hAnsi="Times New Roman" w:cs="Times New Roman"/>
          <w:sz w:val="24"/>
          <w:szCs w:val="24"/>
        </w:rPr>
        <w:t>,</w:t>
      </w:r>
      <w:r w:rsidR="00985FCF" w:rsidRPr="00985FCF">
        <w:rPr>
          <w:rFonts w:ascii="Times New Roman" w:hAnsi="Times New Roman" w:cs="Times New Roman"/>
          <w:sz w:val="24"/>
          <w:szCs w:val="24"/>
        </w:rPr>
        <w:t>05), puntos de inflexión temporales (2018-2019) y disociaciones entre productividad y sostenibilidad. Estos hallazgos validan la utilidad de los indicadores para diagnosticar fallas sistémicas en la gestión forestal, como la desconexión entre rentabilidad económica (IRF) y salud ecológica.</w:t>
      </w:r>
    </w:p>
    <w:p w14:paraId="34729DDC" w14:textId="5991F8B5" w:rsidR="00985FCF" w:rsidRPr="00985FCF" w:rsidRDefault="00F518F0" w:rsidP="00F518F0">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Pr="00985FCF">
        <w:rPr>
          <w:rFonts w:ascii="Times New Roman" w:hAnsi="Times New Roman" w:cs="Times New Roman"/>
          <w:b/>
          <w:bCs/>
          <w:sz w:val="24"/>
          <w:szCs w:val="24"/>
        </w:rPr>
        <w:t>onclusiones</w:t>
      </w:r>
    </w:p>
    <w:p w14:paraId="279C8E05" w14:textId="77777777" w:rsidR="0076393E" w:rsidRDefault="000470B0" w:rsidP="00F518F0">
      <w:pPr>
        <w:spacing w:after="120" w:line="360" w:lineRule="auto"/>
        <w:jc w:val="both"/>
        <w:rPr>
          <w:rFonts w:ascii="Times New Roman" w:hAnsi="Times New Roman" w:cs="Times New Roman"/>
          <w:sz w:val="24"/>
          <w:szCs w:val="24"/>
        </w:rPr>
      </w:pPr>
      <w:r w:rsidRPr="000470B0">
        <w:rPr>
          <w:rFonts w:ascii="Times New Roman" w:hAnsi="Times New Roman" w:cs="Times New Roman"/>
          <w:sz w:val="24"/>
          <w:szCs w:val="24"/>
        </w:rPr>
        <w:t>El análisis exhaustivo realizado con DeepSeek-V3 ha permitido identificar puntos críticos en la sostenibilidad forestal de Guisa (2013-2024), revelando una marcada disociación entre indicadores ecológicos y económicos. La cobertura forestal exhibió una regresión posterior a 2018, mientras que la rentabilidad mantuvo una estabilidad aparente. La implementación de la inteligencia artificial (IA) ha demostrado su eficacia en la detección de patrones no lineales, sentando las bases para una gestión adaptativa de los ecosistemas forestales.</w:t>
      </w:r>
    </w:p>
    <w:p w14:paraId="32FE49A8" w14:textId="2AAF715C" w:rsidR="00F518F0" w:rsidRPr="00985FCF" w:rsidRDefault="00F518F0" w:rsidP="00F518F0">
      <w:pPr>
        <w:spacing w:after="120" w:line="360" w:lineRule="auto"/>
        <w:jc w:val="both"/>
        <w:rPr>
          <w:rFonts w:ascii="Times New Roman" w:hAnsi="Times New Roman" w:cs="Times New Roman"/>
          <w:b/>
          <w:bCs/>
          <w:sz w:val="24"/>
          <w:szCs w:val="24"/>
        </w:rPr>
      </w:pPr>
      <w:r w:rsidRPr="00F518F0">
        <w:rPr>
          <w:rFonts w:ascii="Times New Roman" w:hAnsi="Times New Roman" w:cs="Times New Roman"/>
          <w:b/>
          <w:bCs/>
          <w:sz w:val="24"/>
          <w:szCs w:val="24"/>
        </w:rPr>
        <w:t>Bibliografía</w:t>
      </w:r>
    </w:p>
    <w:p w14:paraId="7604689D" w14:textId="633D2A06" w:rsidR="00985FCF" w:rsidRPr="0076249F" w:rsidRDefault="00985FCF" w:rsidP="00D41CCE">
      <w:pPr>
        <w:spacing w:after="120" w:line="360" w:lineRule="auto"/>
        <w:ind w:left="720" w:hanging="720"/>
        <w:jc w:val="both"/>
        <w:rPr>
          <w:rFonts w:ascii="Times New Roman" w:hAnsi="Times New Roman" w:cs="Times New Roman"/>
          <w:sz w:val="24"/>
          <w:szCs w:val="24"/>
          <w:lang w:val="en-US"/>
        </w:rPr>
      </w:pPr>
      <w:r w:rsidRPr="00985FCF">
        <w:rPr>
          <w:rFonts w:ascii="Times New Roman" w:hAnsi="Times New Roman" w:cs="Times New Roman"/>
          <w:sz w:val="24"/>
          <w:szCs w:val="24"/>
        </w:rPr>
        <w:t xml:space="preserve">Abad, J. D., Garcia, A. P., Marín-Díaz, J., Escobar, C., Ortals, C., &amp; Chicchon, H. (2025). </w:t>
      </w:r>
      <w:r w:rsidRPr="0076249F">
        <w:rPr>
          <w:rFonts w:ascii="Times New Roman" w:hAnsi="Times New Roman" w:cs="Times New Roman"/>
          <w:sz w:val="24"/>
          <w:szCs w:val="24"/>
          <w:lang w:val="en-US"/>
        </w:rPr>
        <w:t xml:space="preserve">Morphodynamics of anabranching structures in the Peruvian Amazon River. </w:t>
      </w:r>
      <w:r w:rsidRPr="0076249F">
        <w:rPr>
          <w:rFonts w:ascii="Times New Roman" w:hAnsi="Times New Roman" w:cs="Times New Roman"/>
          <w:i/>
          <w:iCs/>
          <w:sz w:val="24"/>
          <w:szCs w:val="24"/>
          <w:lang w:val="en-US"/>
        </w:rPr>
        <w:t>Earth Surface Processes and Landforms</w:t>
      </w:r>
      <w:r w:rsidRPr="0076249F">
        <w:rPr>
          <w:rFonts w:ascii="Times New Roman" w:hAnsi="Times New Roman" w:cs="Times New Roman"/>
          <w:sz w:val="24"/>
          <w:szCs w:val="24"/>
          <w:lang w:val="en-US"/>
        </w:rPr>
        <w:t xml:space="preserve">, </w:t>
      </w:r>
      <w:r w:rsidRPr="0076249F">
        <w:rPr>
          <w:rFonts w:ascii="Times New Roman" w:hAnsi="Times New Roman" w:cs="Times New Roman"/>
          <w:i/>
          <w:iCs/>
          <w:sz w:val="24"/>
          <w:szCs w:val="24"/>
          <w:lang w:val="en-US"/>
        </w:rPr>
        <w:t>50</w:t>
      </w:r>
      <w:r w:rsidRPr="0076249F">
        <w:rPr>
          <w:rFonts w:ascii="Times New Roman" w:hAnsi="Times New Roman" w:cs="Times New Roman"/>
          <w:sz w:val="24"/>
          <w:szCs w:val="24"/>
          <w:lang w:val="en-US"/>
        </w:rPr>
        <w:t xml:space="preserve">(1), e6020. </w:t>
      </w:r>
      <w:hyperlink r:id="rId30" w:history="1">
        <w:r w:rsidR="0076393E" w:rsidRPr="004E135A">
          <w:rPr>
            <w:rStyle w:val="Hipervnculo"/>
            <w:rFonts w:ascii="Times New Roman" w:hAnsi="Times New Roman" w:cs="Times New Roman"/>
            <w:sz w:val="24"/>
            <w:szCs w:val="24"/>
            <w:lang w:val="en-US"/>
          </w:rPr>
          <w:t>https://doi.org/10.1002/esp.6020</w:t>
        </w:r>
      </w:hyperlink>
      <w:r w:rsidR="0076393E">
        <w:rPr>
          <w:rFonts w:ascii="Times New Roman" w:hAnsi="Times New Roman" w:cs="Times New Roman"/>
          <w:sz w:val="24"/>
          <w:szCs w:val="24"/>
          <w:lang w:val="en-US"/>
        </w:rPr>
        <w:t xml:space="preserve"> </w:t>
      </w:r>
    </w:p>
    <w:p w14:paraId="222E52C3" w14:textId="51352B67"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r w:rsidRPr="00985FCF">
        <w:rPr>
          <w:rFonts w:ascii="Times New Roman" w:hAnsi="Times New Roman" w:cs="Times New Roman"/>
          <w:sz w:val="24"/>
          <w:szCs w:val="24"/>
        </w:rPr>
        <w:t xml:space="preserve">Ali, G., Mijwil, M. M., Adamopoulos, I., &amp; Ayad, J. (2025). </w:t>
      </w:r>
      <w:r w:rsidRPr="0076249F">
        <w:rPr>
          <w:rFonts w:ascii="Times New Roman" w:hAnsi="Times New Roman" w:cs="Times New Roman"/>
          <w:sz w:val="24"/>
          <w:szCs w:val="24"/>
          <w:lang w:val="en-US"/>
        </w:rPr>
        <w:t xml:space="preserve">Leveraging the Internet of Things, Remote Sensing, and Artificial Intelligence for Sustainable Forest Management. </w:t>
      </w:r>
      <w:r w:rsidRPr="0076249F">
        <w:rPr>
          <w:rFonts w:ascii="Times New Roman" w:hAnsi="Times New Roman" w:cs="Times New Roman"/>
          <w:i/>
          <w:iCs/>
          <w:sz w:val="24"/>
          <w:szCs w:val="24"/>
          <w:lang w:val="en-US"/>
        </w:rPr>
        <w:lastRenderedPageBreak/>
        <w:t>Babylonian Journal of Internet of Things</w:t>
      </w:r>
      <w:r w:rsidRPr="0076249F">
        <w:rPr>
          <w:rFonts w:ascii="Times New Roman" w:hAnsi="Times New Roman" w:cs="Times New Roman"/>
          <w:sz w:val="24"/>
          <w:szCs w:val="24"/>
          <w:lang w:val="en-US"/>
        </w:rPr>
        <w:t xml:space="preserve">, </w:t>
      </w:r>
      <w:r w:rsidRPr="0076249F">
        <w:rPr>
          <w:rFonts w:ascii="Times New Roman" w:hAnsi="Times New Roman" w:cs="Times New Roman"/>
          <w:i/>
          <w:iCs/>
          <w:sz w:val="24"/>
          <w:szCs w:val="24"/>
          <w:lang w:val="en-US"/>
        </w:rPr>
        <w:t>2025</w:t>
      </w:r>
      <w:r w:rsidRPr="0076249F">
        <w:rPr>
          <w:rFonts w:ascii="Times New Roman" w:hAnsi="Times New Roman" w:cs="Times New Roman"/>
          <w:sz w:val="24"/>
          <w:szCs w:val="24"/>
          <w:lang w:val="en-US"/>
        </w:rPr>
        <w:t xml:space="preserve">, 1-65. </w:t>
      </w:r>
      <w:hyperlink r:id="rId31" w:history="1">
        <w:r w:rsidR="0076393E" w:rsidRPr="004E135A">
          <w:rPr>
            <w:rStyle w:val="Hipervnculo"/>
            <w:rFonts w:ascii="Times New Roman" w:hAnsi="Times New Roman" w:cs="Times New Roman"/>
            <w:sz w:val="24"/>
            <w:szCs w:val="24"/>
            <w:lang w:val="en-US"/>
          </w:rPr>
          <w:t>https://doi.org/10.58496/BJIoT/2025/001</w:t>
        </w:r>
      </w:hyperlink>
      <w:r w:rsidR="0076393E">
        <w:rPr>
          <w:rFonts w:ascii="Times New Roman" w:hAnsi="Times New Roman" w:cs="Times New Roman"/>
          <w:sz w:val="24"/>
          <w:szCs w:val="24"/>
          <w:lang w:val="en-US"/>
        </w:rPr>
        <w:t xml:space="preserve"> </w:t>
      </w:r>
    </w:p>
    <w:p w14:paraId="6629C2E7" w14:textId="080C7087"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r w:rsidRPr="0076249F">
        <w:rPr>
          <w:rFonts w:ascii="Times New Roman" w:hAnsi="Times New Roman" w:cs="Times New Roman"/>
          <w:sz w:val="24"/>
          <w:szCs w:val="24"/>
          <w:lang w:val="en-US"/>
        </w:rPr>
        <w:t xml:space="preserve">Bin, Y. (2025). Integrating Artificial Intelligence in Big Data Analytics: A Framework for Automated Data Processing and Insight Generation. </w:t>
      </w:r>
      <w:r w:rsidRPr="0076249F">
        <w:rPr>
          <w:rFonts w:ascii="Times New Roman" w:hAnsi="Times New Roman" w:cs="Times New Roman"/>
          <w:i/>
          <w:iCs/>
          <w:sz w:val="24"/>
          <w:szCs w:val="24"/>
          <w:lang w:val="en-US"/>
        </w:rPr>
        <w:t>Orient Journal of Emerging Paradigms in Artificial Intelligence and Autonomous Systems</w:t>
      </w:r>
      <w:r w:rsidRPr="0076249F">
        <w:rPr>
          <w:rFonts w:ascii="Times New Roman" w:hAnsi="Times New Roman" w:cs="Times New Roman"/>
          <w:sz w:val="24"/>
          <w:szCs w:val="24"/>
          <w:lang w:val="en-US"/>
        </w:rPr>
        <w:t xml:space="preserve">, </w:t>
      </w:r>
      <w:r w:rsidRPr="0076249F">
        <w:rPr>
          <w:rFonts w:ascii="Times New Roman" w:hAnsi="Times New Roman" w:cs="Times New Roman"/>
          <w:i/>
          <w:iCs/>
          <w:sz w:val="24"/>
          <w:szCs w:val="24"/>
          <w:lang w:val="en-US"/>
        </w:rPr>
        <w:t>15</w:t>
      </w:r>
      <w:r w:rsidRPr="0076249F">
        <w:rPr>
          <w:rFonts w:ascii="Times New Roman" w:hAnsi="Times New Roman" w:cs="Times New Roman"/>
          <w:sz w:val="24"/>
          <w:szCs w:val="24"/>
          <w:lang w:val="en-US"/>
        </w:rPr>
        <w:t xml:space="preserve">(2), 10-19. </w:t>
      </w:r>
      <w:hyperlink r:id="rId32" w:history="1">
        <w:r w:rsidR="0076393E" w:rsidRPr="004E135A">
          <w:rPr>
            <w:rStyle w:val="Hipervnculo"/>
            <w:rFonts w:ascii="Times New Roman" w:hAnsi="Times New Roman" w:cs="Times New Roman"/>
            <w:sz w:val="24"/>
            <w:szCs w:val="24"/>
            <w:lang w:val="en-US"/>
          </w:rPr>
          <w:t>https://orientacademies.com/index.php/OJEPAIAS/article/view/2025-02-07</w:t>
        </w:r>
      </w:hyperlink>
      <w:r w:rsidR="0076393E">
        <w:rPr>
          <w:rFonts w:ascii="Times New Roman" w:hAnsi="Times New Roman" w:cs="Times New Roman"/>
          <w:sz w:val="24"/>
          <w:szCs w:val="24"/>
          <w:lang w:val="en-US"/>
        </w:rPr>
        <w:t xml:space="preserve"> </w:t>
      </w:r>
    </w:p>
    <w:p w14:paraId="6B26FD5E" w14:textId="1E032673"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r w:rsidRPr="0076249F">
        <w:rPr>
          <w:rFonts w:ascii="Times New Roman" w:hAnsi="Times New Roman" w:cs="Times New Roman"/>
          <w:sz w:val="24"/>
          <w:szCs w:val="24"/>
          <w:lang w:val="en-US"/>
        </w:rPr>
        <w:t xml:space="preserve">Bohora, M., Thomaz, I., Valle, D., Hammond, W., Prichard, J., Hudak, A., Klauberg, C., Karasinski, .A., Melissa, K., Diego, K., Xia, J., Vieira, R., Higuchi, P., Carolina da Silva, A., Maximo da Silva, G., Cova, G. R., &amp; Silva, C. A. (2025). Sustainability Assessment of the Malekshahi Watershed Based on Ecological and Socio-Economic Criteria in Iran. </w:t>
      </w:r>
      <w:r w:rsidRPr="0076249F">
        <w:rPr>
          <w:rFonts w:ascii="Times New Roman" w:hAnsi="Times New Roman" w:cs="Times New Roman"/>
          <w:i/>
          <w:iCs/>
          <w:sz w:val="24"/>
          <w:szCs w:val="24"/>
          <w:lang w:val="en-US"/>
        </w:rPr>
        <w:t>ECOPERSIA</w:t>
      </w:r>
      <w:r w:rsidRPr="0076249F">
        <w:rPr>
          <w:rFonts w:ascii="Times New Roman" w:hAnsi="Times New Roman" w:cs="Times New Roman"/>
          <w:sz w:val="24"/>
          <w:szCs w:val="24"/>
          <w:lang w:val="en-US"/>
        </w:rPr>
        <w:t xml:space="preserve">, </w:t>
      </w:r>
      <w:r w:rsidRPr="0076249F">
        <w:rPr>
          <w:rFonts w:ascii="Times New Roman" w:hAnsi="Times New Roman" w:cs="Times New Roman"/>
          <w:i/>
          <w:iCs/>
          <w:sz w:val="24"/>
          <w:szCs w:val="24"/>
          <w:lang w:val="en-US"/>
        </w:rPr>
        <w:t>13</w:t>
      </w:r>
      <w:r w:rsidRPr="0076249F">
        <w:rPr>
          <w:rFonts w:ascii="Times New Roman" w:hAnsi="Times New Roman" w:cs="Times New Roman"/>
          <w:sz w:val="24"/>
          <w:szCs w:val="24"/>
          <w:lang w:val="en-US"/>
        </w:rPr>
        <w:t xml:space="preserve">(2), 165-181. </w:t>
      </w:r>
      <w:hyperlink r:id="rId33" w:history="1">
        <w:r w:rsidR="0076393E" w:rsidRPr="004E135A">
          <w:rPr>
            <w:rStyle w:val="Hipervnculo"/>
            <w:rFonts w:ascii="Times New Roman" w:hAnsi="Times New Roman" w:cs="Times New Roman"/>
            <w:sz w:val="24"/>
            <w:szCs w:val="24"/>
            <w:lang w:val="en-US"/>
          </w:rPr>
          <w:t>https://doi.org/10.22034/ECOPERSIA.13.2.165</w:t>
        </w:r>
      </w:hyperlink>
      <w:r w:rsidR="0076393E">
        <w:rPr>
          <w:rFonts w:ascii="Times New Roman" w:hAnsi="Times New Roman" w:cs="Times New Roman"/>
          <w:sz w:val="24"/>
          <w:szCs w:val="24"/>
          <w:lang w:val="en-US"/>
        </w:rPr>
        <w:t xml:space="preserve"> </w:t>
      </w:r>
    </w:p>
    <w:p w14:paraId="51D2FD1A" w14:textId="26ADC5EB"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r w:rsidRPr="0076249F">
        <w:rPr>
          <w:rFonts w:ascii="Times New Roman" w:hAnsi="Times New Roman" w:cs="Times New Roman"/>
          <w:sz w:val="24"/>
          <w:szCs w:val="24"/>
          <w:lang w:val="en-US"/>
        </w:rPr>
        <w:t xml:space="preserve">Chisika, S., &amp; Yeom, C. (2025). The effect of tree harvesting rights on investment in tree growing and promotion of sustainable tree conservation practices by private land holders in Kenya. </w:t>
      </w:r>
      <w:r w:rsidRPr="0076249F">
        <w:rPr>
          <w:rFonts w:ascii="Times New Roman" w:hAnsi="Times New Roman" w:cs="Times New Roman"/>
          <w:i/>
          <w:iCs/>
          <w:sz w:val="24"/>
          <w:szCs w:val="24"/>
          <w:lang w:val="en-US"/>
        </w:rPr>
        <w:t>Visions for Sustainability</w:t>
      </w:r>
      <w:r w:rsidRPr="0076249F">
        <w:rPr>
          <w:rFonts w:ascii="Times New Roman" w:hAnsi="Times New Roman" w:cs="Times New Roman"/>
          <w:sz w:val="24"/>
          <w:szCs w:val="24"/>
          <w:lang w:val="en-US"/>
        </w:rPr>
        <w:t xml:space="preserve">, 213-244. </w:t>
      </w:r>
      <w:hyperlink r:id="rId34" w:history="1">
        <w:r w:rsidR="0076393E" w:rsidRPr="004E135A">
          <w:rPr>
            <w:rStyle w:val="Hipervnculo"/>
            <w:rFonts w:ascii="Times New Roman" w:hAnsi="Times New Roman" w:cs="Times New Roman"/>
            <w:sz w:val="24"/>
            <w:szCs w:val="24"/>
            <w:lang w:val="en-US"/>
          </w:rPr>
          <w:t>https://doi.org/10.13135/2384-8677/11297</w:t>
        </w:r>
      </w:hyperlink>
      <w:r w:rsidR="0076393E">
        <w:rPr>
          <w:rFonts w:ascii="Times New Roman" w:hAnsi="Times New Roman" w:cs="Times New Roman"/>
          <w:sz w:val="24"/>
          <w:szCs w:val="24"/>
          <w:lang w:val="en-US"/>
        </w:rPr>
        <w:t xml:space="preserve"> </w:t>
      </w:r>
    </w:p>
    <w:p w14:paraId="2644B553" w14:textId="1D442285"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r w:rsidRPr="0076249F">
        <w:rPr>
          <w:rFonts w:ascii="Times New Roman" w:hAnsi="Times New Roman" w:cs="Times New Roman"/>
          <w:sz w:val="24"/>
          <w:szCs w:val="24"/>
          <w:lang w:val="en-US"/>
        </w:rPr>
        <w:t xml:space="preserve">Deng, Z., Ma, W., Han, Q.-L., Zhou, W., Zhu, X., Wen, S., &amp; Xiang, Y. (2025). Exploring DeepSeek: A Survey on Advances, Applications, Challenges and Future Directions. </w:t>
      </w:r>
      <w:r w:rsidRPr="0076249F">
        <w:rPr>
          <w:rFonts w:ascii="Times New Roman" w:hAnsi="Times New Roman" w:cs="Times New Roman"/>
          <w:i/>
          <w:iCs/>
          <w:sz w:val="24"/>
          <w:szCs w:val="24"/>
          <w:lang w:val="en-US"/>
        </w:rPr>
        <w:t>IEEE/CAA Journal of Automatica Sinica</w:t>
      </w:r>
      <w:r w:rsidRPr="0076249F">
        <w:rPr>
          <w:rFonts w:ascii="Times New Roman" w:hAnsi="Times New Roman" w:cs="Times New Roman"/>
          <w:sz w:val="24"/>
          <w:szCs w:val="24"/>
          <w:lang w:val="en-US"/>
        </w:rPr>
        <w:t xml:space="preserve">, </w:t>
      </w:r>
      <w:r w:rsidRPr="0076249F">
        <w:rPr>
          <w:rFonts w:ascii="Times New Roman" w:hAnsi="Times New Roman" w:cs="Times New Roman"/>
          <w:i/>
          <w:iCs/>
          <w:sz w:val="24"/>
          <w:szCs w:val="24"/>
          <w:lang w:val="en-US"/>
        </w:rPr>
        <w:t>12</w:t>
      </w:r>
      <w:r w:rsidRPr="0076249F">
        <w:rPr>
          <w:rFonts w:ascii="Times New Roman" w:hAnsi="Times New Roman" w:cs="Times New Roman"/>
          <w:sz w:val="24"/>
          <w:szCs w:val="24"/>
          <w:lang w:val="en-US"/>
        </w:rPr>
        <w:t xml:space="preserve">(5), 872-893. </w:t>
      </w:r>
      <w:hyperlink r:id="rId35" w:history="1">
        <w:r w:rsidR="0076393E" w:rsidRPr="004E135A">
          <w:rPr>
            <w:rStyle w:val="Hipervnculo"/>
            <w:rFonts w:ascii="Times New Roman" w:hAnsi="Times New Roman" w:cs="Times New Roman"/>
            <w:sz w:val="24"/>
            <w:szCs w:val="24"/>
            <w:lang w:val="en-US"/>
          </w:rPr>
          <w:t>https://doi.org/10.1109/JAS.2025.125498</w:t>
        </w:r>
      </w:hyperlink>
      <w:r w:rsidR="0076393E">
        <w:rPr>
          <w:rFonts w:ascii="Times New Roman" w:hAnsi="Times New Roman" w:cs="Times New Roman"/>
          <w:sz w:val="24"/>
          <w:szCs w:val="24"/>
          <w:lang w:val="en-US"/>
        </w:rPr>
        <w:t xml:space="preserve"> </w:t>
      </w:r>
    </w:p>
    <w:p w14:paraId="34ECF3B1" w14:textId="53A3BACB"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r w:rsidRPr="0076249F">
        <w:rPr>
          <w:rFonts w:ascii="Times New Roman" w:hAnsi="Times New Roman" w:cs="Times New Roman"/>
          <w:sz w:val="24"/>
          <w:szCs w:val="24"/>
          <w:lang w:val="en-US"/>
        </w:rPr>
        <w:t xml:space="preserve">Fu, X., Li, Z., Ma, J., Zhou, M., Chen, L., &amp; Peng, J. (2025). Ecosystem resilience response to forest fragmentation in China: Thresholds identification. </w:t>
      </w:r>
      <w:r w:rsidRPr="0076249F">
        <w:rPr>
          <w:rFonts w:ascii="Times New Roman" w:hAnsi="Times New Roman" w:cs="Times New Roman"/>
          <w:i/>
          <w:iCs/>
          <w:sz w:val="24"/>
          <w:szCs w:val="24"/>
          <w:lang w:val="en-US"/>
        </w:rPr>
        <w:t>Journal of Environmental Management</w:t>
      </w:r>
      <w:r w:rsidRPr="0076249F">
        <w:rPr>
          <w:rFonts w:ascii="Times New Roman" w:hAnsi="Times New Roman" w:cs="Times New Roman"/>
          <w:sz w:val="24"/>
          <w:szCs w:val="24"/>
          <w:lang w:val="en-US"/>
        </w:rPr>
        <w:t xml:space="preserve">, </w:t>
      </w:r>
      <w:r w:rsidRPr="0076249F">
        <w:rPr>
          <w:rFonts w:ascii="Times New Roman" w:hAnsi="Times New Roman" w:cs="Times New Roman"/>
          <w:i/>
          <w:iCs/>
          <w:sz w:val="24"/>
          <w:szCs w:val="24"/>
          <w:lang w:val="en-US"/>
        </w:rPr>
        <w:t>380</w:t>
      </w:r>
      <w:r w:rsidRPr="0076249F">
        <w:rPr>
          <w:rFonts w:ascii="Times New Roman" w:hAnsi="Times New Roman" w:cs="Times New Roman"/>
          <w:sz w:val="24"/>
          <w:szCs w:val="24"/>
          <w:lang w:val="en-US"/>
        </w:rPr>
        <w:t xml:space="preserve">, 125180. </w:t>
      </w:r>
      <w:hyperlink r:id="rId36" w:history="1">
        <w:r w:rsidR="0076393E" w:rsidRPr="004E135A">
          <w:rPr>
            <w:rStyle w:val="Hipervnculo"/>
            <w:rFonts w:ascii="Times New Roman" w:hAnsi="Times New Roman" w:cs="Times New Roman"/>
            <w:sz w:val="24"/>
            <w:szCs w:val="24"/>
            <w:lang w:val="en-US"/>
          </w:rPr>
          <w:t>https://doi.org/10.1016/j.jenvman.2025.125180</w:t>
        </w:r>
      </w:hyperlink>
      <w:r w:rsidR="0076393E">
        <w:rPr>
          <w:rFonts w:ascii="Times New Roman" w:hAnsi="Times New Roman" w:cs="Times New Roman"/>
          <w:sz w:val="24"/>
          <w:szCs w:val="24"/>
          <w:lang w:val="en-US"/>
        </w:rPr>
        <w:t xml:space="preserve"> </w:t>
      </w:r>
    </w:p>
    <w:p w14:paraId="014D8C2B" w14:textId="190779A0"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r w:rsidRPr="0076249F">
        <w:rPr>
          <w:rFonts w:ascii="Times New Roman" w:hAnsi="Times New Roman" w:cs="Times New Roman"/>
          <w:sz w:val="24"/>
          <w:szCs w:val="24"/>
          <w:lang w:val="en-US"/>
        </w:rPr>
        <w:t xml:space="preserve">Guo, Z. (2025). </w:t>
      </w:r>
      <w:r w:rsidRPr="0076249F">
        <w:rPr>
          <w:rFonts w:ascii="Times New Roman" w:hAnsi="Times New Roman" w:cs="Times New Roman"/>
          <w:i/>
          <w:iCs/>
          <w:sz w:val="24"/>
          <w:szCs w:val="24"/>
          <w:lang w:val="en-US"/>
        </w:rPr>
        <w:t>Forestry Text Classification Based on DeepSeek in Forestry Domain Hint Engineering</w:t>
      </w:r>
      <w:r w:rsidRPr="0076249F">
        <w:rPr>
          <w:rFonts w:ascii="Times New Roman" w:hAnsi="Times New Roman" w:cs="Times New Roman"/>
          <w:sz w:val="24"/>
          <w:szCs w:val="24"/>
          <w:lang w:val="en-US"/>
        </w:rPr>
        <w:t xml:space="preserve">. 73-76. </w:t>
      </w:r>
      <w:hyperlink r:id="rId37" w:history="1">
        <w:r w:rsidR="0076393E" w:rsidRPr="004E135A">
          <w:rPr>
            <w:rStyle w:val="Hipervnculo"/>
            <w:rFonts w:ascii="Times New Roman" w:hAnsi="Times New Roman" w:cs="Times New Roman"/>
            <w:sz w:val="24"/>
            <w:szCs w:val="24"/>
            <w:lang w:val="en-US"/>
          </w:rPr>
          <w:t>https://doi.org/10.1109/ACCTCS66275.2025.00020</w:t>
        </w:r>
      </w:hyperlink>
      <w:r w:rsidR="0076393E">
        <w:rPr>
          <w:rFonts w:ascii="Times New Roman" w:hAnsi="Times New Roman" w:cs="Times New Roman"/>
          <w:sz w:val="24"/>
          <w:szCs w:val="24"/>
          <w:lang w:val="en-US"/>
        </w:rPr>
        <w:t xml:space="preserve"> </w:t>
      </w:r>
    </w:p>
    <w:p w14:paraId="1707104F" w14:textId="2628E29E"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r w:rsidRPr="0076249F">
        <w:rPr>
          <w:rFonts w:ascii="Times New Roman" w:hAnsi="Times New Roman" w:cs="Times New Roman"/>
          <w:sz w:val="24"/>
          <w:szCs w:val="24"/>
          <w:lang w:val="en-US"/>
        </w:rPr>
        <w:t xml:space="preserve">Nurfitriani, N., &amp; Nazarudin, I. (2025). Sustainable Capital Budgeting: Assessing Long-Term Effects Beyond Profitability. </w:t>
      </w:r>
      <w:r w:rsidRPr="0076249F">
        <w:rPr>
          <w:rFonts w:ascii="Times New Roman" w:hAnsi="Times New Roman" w:cs="Times New Roman"/>
          <w:i/>
          <w:iCs/>
          <w:sz w:val="24"/>
          <w:szCs w:val="24"/>
          <w:lang w:val="en-US"/>
        </w:rPr>
        <w:t>JASF: Journal of Accounting and Strategic Finance</w:t>
      </w:r>
      <w:r w:rsidRPr="0076249F">
        <w:rPr>
          <w:rFonts w:ascii="Times New Roman" w:hAnsi="Times New Roman" w:cs="Times New Roman"/>
          <w:sz w:val="24"/>
          <w:szCs w:val="24"/>
          <w:lang w:val="en-US"/>
        </w:rPr>
        <w:t xml:space="preserve">, </w:t>
      </w:r>
      <w:r w:rsidRPr="0076249F">
        <w:rPr>
          <w:rFonts w:ascii="Times New Roman" w:hAnsi="Times New Roman" w:cs="Times New Roman"/>
          <w:i/>
          <w:iCs/>
          <w:sz w:val="24"/>
          <w:szCs w:val="24"/>
          <w:lang w:val="en-US"/>
        </w:rPr>
        <w:t>8</w:t>
      </w:r>
      <w:r w:rsidRPr="0076249F">
        <w:rPr>
          <w:rFonts w:ascii="Times New Roman" w:hAnsi="Times New Roman" w:cs="Times New Roman"/>
          <w:sz w:val="24"/>
          <w:szCs w:val="24"/>
          <w:lang w:val="en-US"/>
        </w:rPr>
        <w:t xml:space="preserve">(1), 133-151. </w:t>
      </w:r>
      <w:hyperlink r:id="rId38" w:history="1">
        <w:r w:rsidR="0076393E" w:rsidRPr="004E135A">
          <w:rPr>
            <w:rStyle w:val="Hipervnculo"/>
            <w:rFonts w:ascii="Times New Roman" w:hAnsi="Times New Roman" w:cs="Times New Roman"/>
            <w:sz w:val="24"/>
            <w:szCs w:val="24"/>
            <w:lang w:val="en-US"/>
          </w:rPr>
          <w:t>https://doi.org/10.33005/jasf.v8i1.581</w:t>
        </w:r>
      </w:hyperlink>
      <w:r w:rsidR="0076393E">
        <w:rPr>
          <w:rFonts w:ascii="Times New Roman" w:hAnsi="Times New Roman" w:cs="Times New Roman"/>
          <w:sz w:val="24"/>
          <w:szCs w:val="24"/>
          <w:lang w:val="en-US"/>
        </w:rPr>
        <w:t xml:space="preserve"> </w:t>
      </w:r>
    </w:p>
    <w:p w14:paraId="05097381" w14:textId="4EAAFC34" w:rsidR="00985FCF" w:rsidRPr="00985FCF" w:rsidRDefault="00985FCF" w:rsidP="005E5571">
      <w:pPr>
        <w:spacing w:after="120" w:line="360" w:lineRule="auto"/>
        <w:ind w:left="720" w:hanging="720"/>
        <w:jc w:val="both"/>
        <w:rPr>
          <w:rFonts w:ascii="Times New Roman" w:hAnsi="Times New Roman" w:cs="Times New Roman"/>
          <w:sz w:val="24"/>
          <w:szCs w:val="24"/>
        </w:rPr>
      </w:pPr>
      <w:r w:rsidRPr="00985FCF">
        <w:rPr>
          <w:rFonts w:ascii="Times New Roman" w:hAnsi="Times New Roman" w:cs="Times New Roman"/>
          <w:sz w:val="24"/>
          <w:szCs w:val="24"/>
        </w:rPr>
        <w:t xml:space="preserve">Portilla, J. A. (2024). </w:t>
      </w:r>
      <w:r w:rsidRPr="00985FCF">
        <w:rPr>
          <w:rFonts w:ascii="Times New Roman" w:hAnsi="Times New Roman" w:cs="Times New Roman"/>
          <w:i/>
          <w:iCs/>
          <w:sz w:val="24"/>
          <w:szCs w:val="24"/>
        </w:rPr>
        <w:t>“Evaluación de la sostenibilidad ambiental con base en indicadores para el páramo Chilcatingo-Yacubamba, cantón Salcedo, provincia de Cotopaxi”</w:t>
      </w:r>
      <w:r w:rsidRPr="00985FCF">
        <w:rPr>
          <w:rFonts w:ascii="Times New Roman" w:hAnsi="Times New Roman" w:cs="Times New Roman"/>
          <w:sz w:val="24"/>
          <w:szCs w:val="24"/>
        </w:rPr>
        <w:t xml:space="preserve"> [Tesis en </w:t>
      </w:r>
      <w:r w:rsidRPr="00985FCF">
        <w:rPr>
          <w:rFonts w:ascii="Times New Roman" w:hAnsi="Times New Roman" w:cs="Times New Roman"/>
          <w:sz w:val="24"/>
          <w:szCs w:val="24"/>
        </w:rPr>
        <w:lastRenderedPageBreak/>
        <w:t xml:space="preserve">opción al título de Máster en Gestión Ambiental, Universidad Técnica de Cotopaxi (UTC)]. </w:t>
      </w:r>
      <w:hyperlink r:id="rId39" w:history="1">
        <w:r w:rsidR="0076393E" w:rsidRPr="004E135A">
          <w:rPr>
            <w:rStyle w:val="Hipervnculo"/>
            <w:rFonts w:ascii="Times New Roman" w:hAnsi="Times New Roman" w:cs="Times New Roman"/>
            <w:sz w:val="24"/>
            <w:szCs w:val="24"/>
          </w:rPr>
          <w:t>https://repositorio.utc.edu.ec/handle/123456789/12741</w:t>
        </w:r>
      </w:hyperlink>
      <w:r w:rsidR="0076393E">
        <w:rPr>
          <w:rFonts w:ascii="Times New Roman" w:hAnsi="Times New Roman" w:cs="Times New Roman"/>
          <w:sz w:val="24"/>
          <w:szCs w:val="24"/>
        </w:rPr>
        <w:t xml:space="preserve"> </w:t>
      </w:r>
    </w:p>
    <w:p w14:paraId="56A0E1CF" w14:textId="5E590661"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r w:rsidRPr="0076249F">
        <w:rPr>
          <w:rFonts w:ascii="Times New Roman" w:hAnsi="Times New Roman" w:cs="Times New Roman"/>
          <w:sz w:val="24"/>
          <w:szCs w:val="24"/>
          <w:lang w:val="en-US"/>
        </w:rPr>
        <w:t xml:space="preserve">Saim, A. A., &amp; Aly, M. H. (2025). Machine Learning and Multisensor Data Fusion for Forest above Ground Biomass Estimation in Arkansas. </w:t>
      </w:r>
      <w:r w:rsidRPr="0076249F">
        <w:rPr>
          <w:rFonts w:ascii="Times New Roman" w:hAnsi="Times New Roman" w:cs="Times New Roman"/>
          <w:i/>
          <w:iCs/>
          <w:sz w:val="24"/>
          <w:szCs w:val="24"/>
          <w:lang w:val="en-US"/>
        </w:rPr>
        <w:t>Earth Systems and Environment</w:t>
      </w:r>
      <w:r w:rsidRPr="0076249F">
        <w:rPr>
          <w:rFonts w:ascii="Times New Roman" w:hAnsi="Times New Roman" w:cs="Times New Roman"/>
          <w:sz w:val="24"/>
          <w:szCs w:val="24"/>
          <w:lang w:val="en-US"/>
        </w:rPr>
        <w:t xml:space="preserve">. </w:t>
      </w:r>
      <w:hyperlink r:id="rId40" w:history="1">
        <w:r w:rsidR="0076393E" w:rsidRPr="004E135A">
          <w:rPr>
            <w:rStyle w:val="Hipervnculo"/>
            <w:rFonts w:ascii="Times New Roman" w:hAnsi="Times New Roman" w:cs="Times New Roman"/>
            <w:sz w:val="24"/>
            <w:szCs w:val="24"/>
            <w:lang w:val="en-US"/>
          </w:rPr>
          <w:t>https://doi.org/10.1007/s41748-025-00713-z</w:t>
        </w:r>
      </w:hyperlink>
      <w:r w:rsidR="0076393E">
        <w:rPr>
          <w:rFonts w:ascii="Times New Roman" w:hAnsi="Times New Roman" w:cs="Times New Roman"/>
          <w:sz w:val="24"/>
          <w:szCs w:val="24"/>
          <w:lang w:val="en-US"/>
        </w:rPr>
        <w:t xml:space="preserve"> </w:t>
      </w:r>
    </w:p>
    <w:p w14:paraId="75039E65" w14:textId="41BC47DD"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r w:rsidRPr="0076249F">
        <w:rPr>
          <w:rFonts w:ascii="Times New Roman" w:hAnsi="Times New Roman" w:cs="Times New Roman"/>
          <w:sz w:val="24"/>
          <w:szCs w:val="24"/>
          <w:lang w:val="en-US"/>
        </w:rPr>
        <w:t xml:space="preserve">Santos-Silva, A. R., Rosa, M. R., &amp; Vasconcelos, R. N. de. (2025). Evaluating the effectiveness of protected areas in preserving ecosystem processes via remote Sensing: A review. </w:t>
      </w:r>
      <w:r w:rsidRPr="0076249F">
        <w:rPr>
          <w:rFonts w:ascii="Times New Roman" w:hAnsi="Times New Roman" w:cs="Times New Roman"/>
          <w:i/>
          <w:iCs/>
          <w:sz w:val="24"/>
          <w:szCs w:val="24"/>
          <w:lang w:val="en-US"/>
        </w:rPr>
        <w:t>Journal for Nature Conservation</w:t>
      </w:r>
      <w:r w:rsidRPr="0076249F">
        <w:rPr>
          <w:rFonts w:ascii="Times New Roman" w:hAnsi="Times New Roman" w:cs="Times New Roman"/>
          <w:sz w:val="24"/>
          <w:szCs w:val="24"/>
          <w:lang w:val="en-US"/>
        </w:rPr>
        <w:t xml:space="preserve">, </w:t>
      </w:r>
      <w:r w:rsidRPr="0076249F">
        <w:rPr>
          <w:rFonts w:ascii="Times New Roman" w:hAnsi="Times New Roman" w:cs="Times New Roman"/>
          <w:i/>
          <w:iCs/>
          <w:sz w:val="24"/>
          <w:szCs w:val="24"/>
          <w:lang w:val="en-US"/>
        </w:rPr>
        <w:t>87</w:t>
      </w:r>
      <w:r w:rsidRPr="0076249F">
        <w:rPr>
          <w:rFonts w:ascii="Times New Roman" w:hAnsi="Times New Roman" w:cs="Times New Roman"/>
          <w:sz w:val="24"/>
          <w:szCs w:val="24"/>
          <w:lang w:val="en-US"/>
        </w:rPr>
        <w:t xml:space="preserve">, 127002. </w:t>
      </w:r>
      <w:hyperlink r:id="rId41" w:history="1">
        <w:r w:rsidR="0076393E" w:rsidRPr="004E135A">
          <w:rPr>
            <w:rStyle w:val="Hipervnculo"/>
            <w:rFonts w:ascii="Times New Roman" w:hAnsi="Times New Roman" w:cs="Times New Roman"/>
            <w:sz w:val="24"/>
            <w:szCs w:val="24"/>
            <w:lang w:val="en-US"/>
          </w:rPr>
          <w:t>https://doi.org/10.1016/j.jnc.2025.127002</w:t>
        </w:r>
      </w:hyperlink>
      <w:r w:rsidR="0076393E">
        <w:rPr>
          <w:rFonts w:ascii="Times New Roman" w:hAnsi="Times New Roman" w:cs="Times New Roman"/>
          <w:sz w:val="24"/>
          <w:szCs w:val="24"/>
          <w:lang w:val="en-US"/>
        </w:rPr>
        <w:t xml:space="preserve"> </w:t>
      </w:r>
    </w:p>
    <w:p w14:paraId="26E08945" w14:textId="4C832CB7"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r w:rsidRPr="0076249F">
        <w:rPr>
          <w:rFonts w:ascii="Times New Roman" w:hAnsi="Times New Roman" w:cs="Times New Roman"/>
          <w:sz w:val="24"/>
          <w:szCs w:val="24"/>
          <w:lang w:val="en-US"/>
        </w:rPr>
        <w:t xml:space="preserve">Shan, R., Feng, G., Lin, Y., &amp; Ma, Z. (2025). Temporal stability of forest productivity declines over stand age at multiple spatial scales. </w:t>
      </w:r>
      <w:r w:rsidRPr="0076249F">
        <w:rPr>
          <w:rFonts w:ascii="Times New Roman" w:hAnsi="Times New Roman" w:cs="Times New Roman"/>
          <w:i/>
          <w:iCs/>
          <w:sz w:val="24"/>
          <w:szCs w:val="24"/>
          <w:lang w:val="en-US"/>
        </w:rPr>
        <w:t>Nature Communications</w:t>
      </w:r>
      <w:r w:rsidRPr="0076249F">
        <w:rPr>
          <w:rFonts w:ascii="Times New Roman" w:hAnsi="Times New Roman" w:cs="Times New Roman"/>
          <w:sz w:val="24"/>
          <w:szCs w:val="24"/>
          <w:lang w:val="en-US"/>
        </w:rPr>
        <w:t xml:space="preserve">, </w:t>
      </w:r>
      <w:r w:rsidRPr="0076249F">
        <w:rPr>
          <w:rFonts w:ascii="Times New Roman" w:hAnsi="Times New Roman" w:cs="Times New Roman"/>
          <w:i/>
          <w:iCs/>
          <w:sz w:val="24"/>
          <w:szCs w:val="24"/>
          <w:lang w:val="en-US"/>
        </w:rPr>
        <w:t>16</w:t>
      </w:r>
      <w:r w:rsidRPr="0076249F">
        <w:rPr>
          <w:rFonts w:ascii="Times New Roman" w:hAnsi="Times New Roman" w:cs="Times New Roman"/>
          <w:sz w:val="24"/>
          <w:szCs w:val="24"/>
          <w:lang w:val="en-US"/>
        </w:rPr>
        <w:t xml:space="preserve">(1), 2745. </w:t>
      </w:r>
      <w:hyperlink r:id="rId42" w:history="1">
        <w:r w:rsidR="0076393E" w:rsidRPr="004E135A">
          <w:rPr>
            <w:rStyle w:val="Hipervnculo"/>
            <w:rFonts w:ascii="Times New Roman" w:hAnsi="Times New Roman" w:cs="Times New Roman"/>
            <w:sz w:val="24"/>
            <w:szCs w:val="24"/>
            <w:lang w:val="en-US"/>
          </w:rPr>
          <w:t>https://doi.org/10.1038/s41467-025-57984-3</w:t>
        </w:r>
      </w:hyperlink>
      <w:r w:rsidR="0076393E">
        <w:rPr>
          <w:rFonts w:ascii="Times New Roman" w:hAnsi="Times New Roman" w:cs="Times New Roman"/>
          <w:sz w:val="24"/>
          <w:szCs w:val="24"/>
          <w:lang w:val="en-US"/>
        </w:rPr>
        <w:t xml:space="preserve"> </w:t>
      </w:r>
    </w:p>
    <w:p w14:paraId="0EFEEA38" w14:textId="7A77A834" w:rsidR="00985FCF" w:rsidRPr="00985FCF" w:rsidRDefault="00985FCF" w:rsidP="005E5571">
      <w:pPr>
        <w:spacing w:after="120" w:line="360" w:lineRule="auto"/>
        <w:ind w:left="720" w:hanging="720"/>
        <w:jc w:val="both"/>
        <w:rPr>
          <w:rFonts w:ascii="Times New Roman" w:hAnsi="Times New Roman" w:cs="Times New Roman"/>
          <w:sz w:val="24"/>
          <w:szCs w:val="24"/>
        </w:rPr>
      </w:pPr>
      <w:r w:rsidRPr="0076249F">
        <w:rPr>
          <w:rFonts w:ascii="Times New Roman" w:hAnsi="Times New Roman" w:cs="Times New Roman"/>
          <w:sz w:val="24"/>
          <w:szCs w:val="24"/>
          <w:lang w:val="en-US"/>
        </w:rPr>
        <w:t xml:space="preserve">Silalahi, M., Nurrochmat, D. R., Harrison, R. D., Mansur, I., &amp; Walsh, T. A. (2025). Making the implementation of the Multi-Forestry Business (MUK) policy work in Indonesia. </w:t>
      </w:r>
      <w:r w:rsidRPr="00985FCF">
        <w:rPr>
          <w:rFonts w:ascii="Times New Roman" w:hAnsi="Times New Roman" w:cs="Times New Roman"/>
          <w:i/>
          <w:iCs/>
          <w:sz w:val="24"/>
          <w:szCs w:val="24"/>
        </w:rPr>
        <w:t>BIO Web of Conferences</w:t>
      </w:r>
      <w:r w:rsidRPr="00985FCF">
        <w:rPr>
          <w:rFonts w:ascii="Times New Roman" w:hAnsi="Times New Roman" w:cs="Times New Roman"/>
          <w:sz w:val="24"/>
          <w:szCs w:val="24"/>
        </w:rPr>
        <w:t xml:space="preserve">, </w:t>
      </w:r>
      <w:r w:rsidRPr="00985FCF">
        <w:rPr>
          <w:rFonts w:ascii="Times New Roman" w:hAnsi="Times New Roman" w:cs="Times New Roman"/>
          <w:i/>
          <w:iCs/>
          <w:sz w:val="24"/>
          <w:szCs w:val="24"/>
        </w:rPr>
        <w:t>175</w:t>
      </w:r>
      <w:r w:rsidRPr="00985FCF">
        <w:rPr>
          <w:rFonts w:ascii="Times New Roman" w:hAnsi="Times New Roman" w:cs="Times New Roman"/>
          <w:sz w:val="24"/>
          <w:szCs w:val="24"/>
        </w:rPr>
        <w:t xml:space="preserve">, 06010. </w:t>
      </w:r>
      <w:hyperlink r:id="rId43" w:history="1">
        <w:r w:rsidR="0076393E" w:rsidRPr="004E135A">
          <w:rPr>
            <w:rStyle w:val="Hipervnculo"/>
            <w:rFonts w:ascii="Times New Roman" w:hAnsi="Times New Roman" w:cs="Times New Roman"/>
            <w:sz w:val="24"/>
            <w:szCs w:val="24"/>
          </w:rPr>
          <w:t>https://doi.org/10.1051/bioconf/202517506010</w:t>
        </w:r>
      </w:hyperlink>
      <w:r w:rsidR="0076393E">
        <w:rPr>
          <w:rFonts w:ascii="Times New Roman" w:hAnsi="Times New Roman" w:cs="Times New Roman"/>
          <w:sz w:val="24"/>
          <w:szCs w:val="24"/>
        </w:rPr>
        <w:t xml:space="preserve"> </w:t>
      </w:r>
    </w:p>
    <w:p w14:paraId="646C2B20" w14:textId="19987A95" w:rsidR="00985FCF" w:rsidRPr="00985FCF" w:rsidRDefault="00985FCF" w:rsidP="005E5571">
      <w:pPr>
        <w:spacing w:after="120" w:line="360" w:lineRule="auto"/>
        <w:ind w:left="720" w:hanging="720"/>
        <w:jc w:val="both"/>
        <w:rPr>
          <w:rFonts w:ascii="Times New Roman" w:hAnsi="Times New Roman" w:cs="Times New Roman"/>
          <w:sz w:val="24"/>
          <w:szCs w:val="24"/>
        </w:rPr>
      </w:pPr>
      <w:r w:rsidRPr="00985FCF">
        <w:rPr>
          <w:rFonts w:ascii="Times New Roman" w:hAnsi="Times New Roman" w:cs="Times New Roman"/>
          <w:sz w:val="24"/>
          <w:szCs w:val="24"/>
        </w:rPr>
        <w:t xml:space="preserve">Tijerín-Triviño, J., Lines, E. R., Zavala, M. A., García, M., Astigarraga, J., Cruz-Alonso, V., Dahlgren, J., &amp; Ruiz-Benito, P. (2025). </w:t>
      </w:r>
      <w:r w:rsidRPr="0076249F">
        <w:rPr>
          <w:rFonts w:ascii="Times New Roman" w:hAnsi="Times New Roman" w:cs="Times New Roman"/>
          <w:sz w:val="24"/>
          <w:szCs w:val="24"/>
          <w:lang w:val="en-US"/>
        </w:rPr>
        <w:t xml:space="preserve">Forest Productivity Decreases in Response to Recent Changes in Vegetation Structure and Climate in the Latitudinal Extremes of the European Continent. </w:t>
      </w:r>
      <w:r w:rsidRPr="00985FCF">
        <w:rPr>
          <w:rFonts w:ascii="Times New Roman" w:hAnsi="Times New Roman" w:cs="Times New Roman"/>
          <w:i/>
          <w:iCs/>
          <w:sz w:val="24"/>
          <w:szCs w:val="24"/>
        </w:rPr>
        <w:t>Global Ecology and Biogeography</w:t>
      </w:r>
      <w:r w:rsidRPr="00985FCF">
        <w:rPr>
          <w:rFonts w:ascii="Times New Roman" w:hAnsi="Times New Roman" w:cs="Times New Roman"/>
          <w:sz w:val="24"/>
          <w:szCs w:val="24"/>
        </w:rPr>
        <w:t xml:space="preserve">, </w:t>
      </w:r>
      <w:r w:rsidRPr="00985FCF">
        <w:rPr>
          <w:rFonts w:ascii="Times New Roman" w:hAnsi="Times New Roman" w:cs="Times New Roman"/>
          <w:i/>
          <w:iCs/>
          <w:sz w:val="24"/>
          <w:szCs w:val="24"/>
        </w:rPr>
        <w:t>34</w:t>
      </w:r>
      <w:r w:rsidRPr="00985FCF">
        <w:rPr>
          <w:rFonts w:ascii="Times New Roman" w:hAnsi="Times New Roman" w:cs="Times New Roman"/>
          <w:sz w:val="24"/>
          <w:szCs w:val="24"/>
        </w:rPr>
        <w:t xml:space="preserve">(2), e70011. </w:t>
      </w:r>
      <w:hyperlink r:id="rId44" w:history="1">
        <w:r w:rsidR="0076393E" w:rsidRPr="004E135A">
          <w:rPr>
            <w:rStyle w:val="Hipervnculo"/>
            <w:rFonts w:ascii="Times New Roman" w:hAnsi="Times New Roman" w:cs="Times New Roman"/>
            <w:sz w:val="24"/>
            <w:szCs w:val="24"/>
          </w:rPr>
          <w:t>https://doi.org/10.1111/geb.70011</w:t>
        </w:r>
      </w:hyperlink>
      <w:r w:rsidR="0076393E">
        <w:rPr>
          <w:rFonts w:ascii="Times New Roman" w:hAnsi="Times New Roman" w:cs="Times New Roman"/>
          <w:sz w:val="24"/>
          <w:szCs w:val="24"/>
        </w:rPr>
        <w:t xml:space="preserve"> </w:t>
      </w:r>
    </w:p>
    <w:p w14:paraId="24BF6117" w14:textId="576F203B" w:rsidR="00985FCF" w:rsidRPr="00985FCF" w:rsidRDefault="00985FCF" w:rsidP="005E5571">
      <w:pPr>
        <w:spacing w:after="120" w:line="360" w:lineRule="auto"/>
        <w:ind w:left="720" w:hanging="720"/>
        <w:jc w:val="both"/>
        <w:rPr>
          <w:rFonts w:ascii="Times New Roman" w:hAnsi="Times New Roman" w:cs="Times New Roman"/>
          <w:sz w:val="24"/>
          <w:szCs w:val="24"/>
        </w:rPr>
      </w:pPr>
      <w:r w:rsidRPr="00985FCF">
        <w:rPr>
          <w:rFonts w:ascii="Times New Roman" w:hAnsi="Times New Roman" w:cs="Times New Roman"/>
          <w:sz w:val="24"/>
          <w:szCs w:val="24"/>
        </w:rPr>
        <w:t xml:space="preserve">Torres, B., Herrera-Feijoo, R. J., Cedillo, E., Robles, M., &amp; Velasco, C. (2025). Incentivos forestales para la sostenibilidad: Propuesta estratégica hacia una cultura forestal en Ecuador. </w:t>
      </w:r>
      <w:r w:rsidRPr="00985FCF">
        <w:rPr>
          <w:rFonts w:ascii="Times New Roman" w:hAnsi="Times New Roman" w:cs="Times New Roman"/>
          <w:i/>
          <w:iCs/>
          <w:sz w:val="24"/>
          <w:szCs w:val="24"/>
        </w:rPr>
        <w:t>Horizon Nexus Journal</w:t>
      </w:r>
      <w:r w:rsidRPr="00985FCF">
        <w:rPr>
          <w:rFonts w:ascii="Times New Roman" w:hAnsi="Times New Roman" w:cs="Times New Roman"/>
          <w:sz w:val="24"/>
          <w:szCs w:val="24"/>
        </w:rPr>
        <w:t xml:space="preserve">, </w:t>
      </w:r>
      <w:r w:rsidRPr="00985FCF">
        <w:rPr>
          <w:rFonts w:ascii="Times New Roman" w:hAnsi="Times New Roman" w:cs="Times New Roman"/>
          <w:i/>
          <w:iCs/>
          <w:sz w:val="24"/>
          <w:szCs w:val="24"/>
        </w:rPr>
        <w:t>3</w:t>
      </w:r>
      <w:r w:rsidRPr="00985FCF">
        <w:rPr>
          <w:rFonts w:ascii="Times New Roman" w:hAnsi="Times New Roman" w:cs="Times New Roman"/>
          <w:sz w:val="24"/>
          <w:szCs w:val="24"/>
        </w:rPr>
        <w:t xml:space="preserve">(3), 84-93. </w:t>
      </w:r>
      <w:hyperlink r:id="rId45" w:history="1">
        <w:r w:rsidR="0076393E" w:rsidRPr="004E135A">
          <w:rPr>
            <w:rStyle w:val="Hipervnculo"/>
            <w:rFonts w:ascii="Times New Roman" w:hAnsi="Times New Roman" w:cs="Times New Roman"/>
            <w:sz w:val="24"/>
            <w:szCs w:val="24"/>
          </w:rPr>
          <w:t>https://doi.org/10.70881/hnj/v3/n3/86</w:t>
        </w:r>
      </w:hyperlink>
      <w:r w:rsidR="0076393E">
        <w:rPr>
          <w:rFonts w:ascii="Times New Roman" w:hAnsi="Times New Roman" w:cs="Times New Roman"/>
          <w:sz w:val="24"/>
          <w:szCs w:val="24"/>
        </w:rPr>
        <w:t xml:space="preserve"> </w:t>
      </w:r>
    </w:p>
    <w:p w14:paraId="5CFC6980" w14:textId="2829146F" w:rsidR="00985FCF" w:rsidRPr="00985FCF" w:rsidRDefault="00985FCF" w:rsidP="005E5571">
      <w:pPr>
        <w:spacing w:after="120" w:line="360" w:lineRule="auto"/>
        <w:ind w:left="720" w:hanging="720"/>
        <w:jc w:val="both"/>
        <w:rPr>
          <w:rFonts w:ascii="Times New Roman" w:hAnsi="Times New Roman" w:cs="Times New Roman"/>
          <w:sz w:val="24"/>
          <w:szCs w:val="24"/>
        </w:rPr>
      </w:pPr>
      <w:r w:rsidRPr="00985FCF">
        <w:rPr>
          <w:rFonts w:ascii="Times New Roman" w:hAnsi="Times New Roman" w:cs="Times New Roman"/>
          <w:sz w:val="24"/>
          <w:szCs w:val="24"/>
        </w:rPr>
        <w:t xml:space="preserve">Urbina, O. J., Fekete, A., Ramírez, R., Mateos, J. C., Sousa, H., &amp; Teixeira, E. (2024). </w:t>
      </w:r>
      <w:r w:rsidRPr="0076249F">
        <w:rPr>
          <w:rFonts w:ascii="Times New Roman" w:hAnsi="Times New Roman" w:cs="Times New Roman"/>
          <w:sz w:val="24"/>
          <w:szCs w:val="24"/>
          <w:lang w:val="en-US"/>
        </w:rPr>
        <w:t xml:space="preserve">A Systematic Review of Integrated Frameworks for Resilience and Sustainability Assessments for Critical Infrastructures. </w:t>
      </w:r>
      <w:r w:rsidRPr="00985FCF">
        <w:rPr>
          <w:rFonts w:ascii="Times New Roman" w:hAnsi="Times New Roman" w:cs="Times New Roman"/>
          <w:i/>
          <w:iCs/>
          <w:sz w:val="24"/>
          <w:szCs w:val="24"/>
        </w:rPr>
        <w:t>Structural Engineering International</w:t>
      </w:r>
      <w:r w:rsidRPr="00985FCF">
        <w:rPr>
          <w:rFonts w:ascii="Times New Roman" w:hAnsi="Times New Roman" w:cs="Times New Roman"/>
          <w:sz w:val="24"/>
          <w:szCs w:val="24"/>
        </w:rPr>
        <w:t xml:space="preserve">, </w:t>
      </w:r>
      <w:r w:rsidRPr="00985FCF">
        <w:rPr>
          <w:rFonts w:ascii="Times New Roman" w:hAnsi="Times New Roman" w:cs="Times New Roman"/>
          <w:i/>
          <w:iCs/>
          <w:sz w:val="24"/>
          <w:szCs w:val="24"/>
        </w:rPr>
        <w:t>34</w:t>
      </w:r>
      <w:r w:rsidRPr="00985FCF">
        <w:rPr>
          <w:rFonts w:ascii="Times New Roman" w:hAnsi="Times New Roman" w:cs="Times New Roman"/>
          <w:sz w:val="24"/>
          <w:szCs w:val="24"/>
        </w:rPr>
        <w:t xml:space="preserve">, 266-280. </w:t>
      </w:r>
      <w:hyperlink r:id="rId46" w:history="1">
        <w:r w:rsidR="0076393E" w:rsidRPr="004E135A">
          <w:rPr>
            <w:rStyle w:val="Hipervnculo"/>
            <w:rFonts w:ascii="Times New Roman" w:hAnsi="Times New Roman" w:cs="Times New Roman"/>
            <w:sz w:val="24"/>
            <w:szCs w:val="24"/>
          </w:rPr>
          <w:t>https://doi.org/10.1080/10168664.2023.2265965</w:t>
        </w:r>
      </w:hyperlink>
      <w:r w:rsidR="0076393E">
        <w:rPr>
          <w:rFonts w:ascii="Times New Roman" w:hAnsi="Times New Roman" w:cs="Times New Roman"/>
          <w:sz w:val="24"/>
          <w:szCs w:val="24"/>
        </w:rPr>
        <w:t xml:space="preserve"> </w:t>
      </w:r>
    </w:p>
    <w:p w14:paraId="5A682B8A" w14:textId="07C73709"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r w:rsidRPr="00985FCF">
        <w:rPr>
          <w:rFonts w:ascii="Times New Roman" w:hAnsi="Times New Roman" w:cs="Times New Roman"/>
          <w:sz w:val="24"/>
          <w:szCs w:val="24"/>
        </w:rPr>
        <w:t xml:space="preserve">Veliz, M., Aparicio, R., Llactayo, W., Esenarro, D., Tinoco, P., Teodoro, C., Raymundo, V., &amp; Carmago, A. (2025). Degradación de ecosistemas forestales de colinas y montañas en la </w:t>
      </w:r>
      <w:r w:rsidRPr="00985FCF">
        <w:rPr>
          <w:rFonts w:ascii="Times New Roman" w:hAnsi="Times New Roman" w:cs="Times New Roman"/>
          <w:sz w:val="24"/>
          <w:szCs w:val="24"/>
        </w:rPr>
        <w:lastRenderedPageBreak/>
        <w:t xml:space="preserve">cuenca del río Ponasa, Perú. </w:t>
      </w:r>
      <w:r w:rsidRPr="0076249F">
        <w:rPr>
          <w:rFonts w:ascii="Times New Roman" w:hAnsi="Times New Roman" w:cs="Times New Roman"/>
          <w:i/>
          <w:iCs/>
          <w:sz w:val="24"/>
          <w:szCs w:val="24"/>
          <w:lang w:val="en-US"/>
        </w:rPr>
        <w:t>BIOTEMPO</w:t>
      </w:r>
      <w:r w:rsidRPr="0076249F">
        <w:rPr>
          <w:rFonts w:ascii="Times New Roman" w:hAnsi="Times New Roman" w:cs="Times New Roman"/>
          <w:sz w:val="24"/>
          <w:szCs w:val="24"/>
          <w:lang w:val="en-US"/>
        </w:rPr>
        <w:t xml:space="preserve">, </w:t>
      </w:r>
      <w:r w:rsidRPr="0076249F">
        <w:rPr>
          <w:rFonts w:ascii="Times New Roman" w:hAnsi="Times New Roman" w:cs="Times New Roman"/>
          <w:i/>
          <w:iCs/>
          <w:sz w:val="24"/>
          <w:szCs w:val="24"/>
          <w:lang w:val="en-US"/>
        </w:rPr>
        <w:t>22</w:t>
      </w:r>
      <w:r w:rsidRPr="0076249F">
        <w:rPr>
          <w:rFonts w:ascii="Times New Roman" w:hAnsi="Times New Roman" w:cs="Times New Roman"/>
          <w:sz w:val="24"/>
          <w:szCs w:val="24"/>
          <w:lang w:val="en-US"/>
        </w:rPr>
        <w:t xml:space="preserve">(2). </w:t>
      </w:r>
      <w:hyperlink r:id="rId47" w:history="1">
        <w:r w:rsidR="0076393E" w:rsidRPr="004E135A">
          <w:rPr>
            <w:rStyle w:val="Hipervnculo"/>
            <w:rFonts w:ascii="Times New Roman" w:hAnsi="Times New Roman" w:cs="Times New Roman"/>
            <w:sz w:val="24"/>
            <w:szCs w:val="24"/>
            <w:lang w:val="en-US"/>
          </w:rPr>
          <w:t>https://doi.org/10.31381/biotempo.v22i2.7651</w:t>
        </w:r>
      </w:hyperlink>
      <w:r w:rsidR="0076393E">
        <w:rPr>
          <w:rFonts w:ascii="Times New Roman" w:hAnsi="Times New Roman" w:cs="Times New Roman"/>
          <w:sz w:val="24"/>
          <w:szCs w:val="24"/>
          <w:lang w:val="en-US"/>
        </w:rPr>
        <w:t xml:space="preserve"> </w:t>
      </w:r>
    </w:p>
    <w:p w14:paraId="695B3761" w14:textId="17605FE5" w:rsidR="00985FCF" w:rsidRPr="00985FCF" w:rsidRDefault="00985FCF" w:rsidP="005E5571">
      <w:pPr>
        <w:spacing w:after="120" w:line="360" w:lineRule="auto"/>
        <w:ind w:left="720" w:hanging="720"/>
        <w:jc w:val="both"/>
        <w:rPr>
          <w:rFonts w:ascii="Times New Roman" w:hAnsi="Times New Roman" w:cs="Times New Roman"/>
          <w:sz w:val="24"/>
          <w:szCs w:val="24"/>
        </w:rPr>
      </w:pPr>
      <w:r w:rsidRPr="0076249F">
        <w:rPr>
          <w:rFonts w:ascii="Times New Roman" w:hAnsi="Times New Roman" w:cs="Times New Roman"/>
          <w:sz w:val="24"/>
          <w:szCs w:val="24"/>
          <w:lang w:val="en-US"/>
        </w:rPr>
        <w:t xml:space="preserve">Zhai, Y., Wang, L., Yao, Y., Jia, J., Li, R., Ren, Z., He, X., Ye, Z., Zhang, X., Chen, Y., &amp; Xu, Y. (2025). Spatially continuous estimation of urban forest aboveground biomass with UAV-LiDAR and multispectral scanning: An allometric model of forest structural diversity. </w:t>
      </w:r>
      <w:r w:rsidRPr="00985FCF">
        <w:rPr>
          <w:rFonts w:ascii="Times New Roman" w:hAnsi="Times New Roman" w:cs="Times New Roman"/>
          <w:i/>
          <w:iCs/>
          <w:sz w:val="24"/>
          <w:szCs w:val="24"/>
        </w:rPr>
        <w:t>Agricultural and Forest Meteorology</w:t>
      </w:r>
      <w:r w:rsidRPr="00985FCF">
        <w:rPr>
          <w:rFonts w:ascii="Times New Roman" w:hAnsi="Times New Roman" w:cs="Times New Roman"/>
          <w:sz w:val="24"/>
          <w:szCs w:val="24"/>
        </w:rPr>
        <w:t xml:space="preserve">, </w:t>
      </w:r>
      <w:r w:rsidRPr="00985FCF">
        <w:rPr>
          <w:rFonts w:ascii="Times New Roman" w:hAnsi="Times New Roman" w:cs="Times New Roman"/>
          <w:i/>
          <w:iCs/>
          <w:sz w:val="24"/>
          <w:szCs w:val="24"/>
        </w:rPr>
        <w:t>360</w:t>
      </w:r>
      <w:r w:rsidRPr="00985FCF">
        <w:rPr>
          <w:rFonts w:ascii="Times New Roman" w:hAnsi="Times New Roman" w:cs="Times New Roman"/>
          <w:sz w:val="24"/>
          <w:szCs w:val="24"/>
        </w:rPr>
        <w:t xml:space="preserve">, 110301. </w:t>
      </w:r>
      <w:hyperlink r:id="rId48" w:history="1">
        <w:r w:rsidR="0076393E" w:rsidRPr="004E135A">
          <w:rPr>
            <w:rStyle w:val="Hipervnculo"/>
            <w:rFonts w:ascii="Times New Roman" w:hAnsi="Times New Roman" w:cs="Times New Roman"/>
            <w:sz w:val="24"/>
            <w:szCs w:val="24"/>
          </w:rPr>
          <w:t>https://doi.org/10.1016/j.agrformet.2024.110301</w:t>
        </w:r>
      </w:hyperlink>
      <w:r w:rsidR="0076393E">
        <w:rPr>
          <w:rFonts w:ascii="Times New Roman" w:hAnsi="Times New Roman" w:cs="Times New Roman"/>
          <w:sz w:val="24"/>
          <w:szCs w:val="24"/>
        </w:rPr>
        <w:t xml:space="preserve"> </w:t>
      </w:r>
    </w:p>
    <w:p w14:paraId="6B6873CE" w14:textId="0DEED83F" w:rsidR="00985FCF" w:rsidRPr="00985FCF" w:rsidRDefault="00985FCF" w:rsidP="005E5571">
      <w:pPr>
        <w:spacing w:after="120" w:line="360" w:lineRule="auto"/>
        <w:ind w:hanging="720"/>
        <w:jc w:val="both"/>
        <w:rPr>
          <w:rFonts w:ascii="Times New Roman" w:hAnsi="Times New Roman" w:cs="Times New Roman"/>
          <w:sz w:val="24"/>
          <w:szCs w:val="24"/>
        </w:rPr>
      </w:pPr>
    </w:p>
    <w:p w14:paraId="212F916F" w14:textId="77777777" w:rsidR="00985FCF" w:rsidRPr="00985FCF" w:rsidRDefault="00985FCF" w:rsidP="005E5571">
      <w:pPr>
        <w:spacing w:after="120" w:line="360" w:lineRule="auto"/>
        <w:ind w:hanging="720"/>
        <w:jc w:val="both"/>
        <w:rPr>
          <w:rFonts w:ascii="Times New Roman" w:hAnsi="Times New Roman" w:cs="Times New Roman"/>
          <w:sz w:val="24"/>
          <w:szCs w:val="24"/>
        </w:rPr>
      </w:pPr>
    </w:p>
    <w:sectPr w:rsidR="00985FCF" w:rsidRPr="00985FCF" w:rsidSect="009D77C8">
      <w:headerReference w:type="even" r:id="rId49"/>
      <w:headerReference w:type="default" r:id="rId50"/>
      <w:footerReference w:type="even" r:id="rId51"/>
      <w:footerReference w:type="default" r:id="rId52"/>
      <w:headerReference w:type="first" r:id="rId53"/>
      <w:footerReference w:type="first" r:id="rId54"/>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D2571" w14:textId="77777777" w:rsidR="00BC4CAC" w:rsidRDefault="00BC4CAC" w:rsidP="007052B6">
      <w:pPr>
        <w:spacing w:after="0" w:line="240" w:lineRule="auto"/>
      </w:pPr>
      <w:r>
        <w:separator/>
      </w:r>
    </w:p>
  </w:endnote>
  <w:endnote w:type="continuationSeparator" w:id="0">
    <w:p w14:paraId="2F63B5C1" w14:textId="77777777" w:rsidR="00BC4CAC" w:rsidRDefault="00BC4CAC"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55B37" w14:textId="77777777" w:rsidR="00710141" w:rsidRDefault="007101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027370"/>
      <w:docPartObj>
        <w:docPartGallery w:val="Page Numbers (Bottom of Page)"/>
        <w:docPartUnique/>
      </w:docPartObj>
    </w:sdtPr>
    <w:sdtEndPr/>
    <w:sdtContent>
      <w:p w14:paraId="1D0FCB6C" w14:textId="4A1063FC" w:rsidR="00B3458D" w:rsidRDefault="00710141">
        <w:pPr>
          <w:pStyle w:val="Piedepgina"/>
          <w:jc w:val="center"/>
        </w:pPr>
      </w:p>
    </w:sdtContent>
  </w:sdt>
  <w:p w14:paraId="42543F2B" w14:textId="1852CA72" w:rsidR="007052B6" w:rsidRPr="007052B6" w:rsidRDefault="00710141" w:rsidP="00CD4065">
    <w:pPr>
      <w:pStyle w:val="Piedepgina"/>
      <w:jc w:val="right"/>
      <w:rPr>
        <w:rFonts w:ascii="Times New Roman" w:hAnsi="Times New Roman" w:cs="Times New Roman"/>
        <w:b/>
        <w:bCs/>
        <w:i/>
        <w:iCs/>
      </w:rPr>
    </w:pPr>
    <w:hyperlink r:id="rId1" w:history="1">
      <w:r w:rsidR="00CD4065" w:rsidRPr="001A5AD4">
        <w:rPr>
          <w:rStyle w:val="Hipervnculo"/>
          <w:rFonts w:ascii="Times New Roman" w:hAnsi="Times New Roman" w:cs="Times New Roman"/>
          <w:b/>
          <w:bCs/>
          <w:i/>
          <w:iCs/>
        </w:rPr>
        <w:t>https://www.cct-uleam.info</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AC59" w14:textId="77777777" w:rsidR="00710141" w:rsidRDefault="007101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4E977" w14:textId="77777777" w:rsidR="00BC4CAC" w:rsidRDefault="00BC4CAC" w:rsidP="007052B6">
      <w:pPr>
        <w:spacing w:after="0" w:line="240" w:lineRule="auto"/>
      </w:pPr>
      <w:r>
        <w:separator/>
      </w:r>
    </w:p>
  </w:footnote>
  <w:footnote w:type="continuationSeparator" w:id="0">
    <w:p w14:paraId="68EFBA80" w14:textId="77777777" w:rsidR="00BC4CAC" w:rsidRDefault="00BC4CAC"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47AF" w14:textId="77777777" w:rsidR="00710141" w:rsidRDefault="007101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7C93" w14:textId="0FB6D8DA" w:rsidR="006F142B" w:rsidRPr="0077657A" w:rsidRDefault="007052B6" w:rsidP="006F142B">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sidR="00435BC6">
      <w:rPr>
        <w:rFonts w:ascii="Times New Roman" w:hAnsi="Times New Roman" w:cs="Times New Roman"/>
        <w:b/>
        <w:bCs/>
        <w:i/>
        <w:iCs/>
      </w:rPr>
      <w:t>4</w:t>
    </w:r>
    <w:r>
      <w:rPr>
        <w:rFonts w:ascii="Times New Roman" w:hAnsi="Times New Roman" w:cs="Times New Roman"/>
        <w:b/>
        <w:bCs/>
        <w:i/>
        <w:iCs/>
      </w:rPr>
      <w:t>,</w:t>
    </w:r>
    <w:r w:rsidRPr="007052B6">
      <w:rPr>
        <w:rFonts w:ascii="Times New Roman" w:hAnsi="Times New Roman" w:cs="Times New Roman"/>
        <w:b/>
        <w:bCs/>
        <w:i/>
        <w:iCs/>
      </w:rPr>
      <w:t xml:space="preserve"> Nro 1. Enero – Junio de 202</w:t>
    </w:r>
    <w:r w:rsidR="00710141">
      <w:rPr>
        <w:rFonts w:ascii="Times New Roman" w:hAnsi="Times New Roman" w:cs="Times New Roman"/>
        <w:b/>
        <w:bCs/>
        <w:i/>
        <w:iCs/>
      </w:rPr>
      <w:t>6</w:t>
    </w:r>
    <w:r w:rsidRPr="007052B6">
      <w:rPr>
        <w:rFonts w:ascii="Times New Roman" w:hAnsi="Times New Roman" w:cs="Times New Roman"/>
        <w:b/>
        <w:bCs/>
        <w:i/>
        <w:iCs/>
      </w:rPr>
      <w:t xml:space="preserve">. ISSN: </w:t>
    </w:r>
    <w:r w:rsidR="006F142B">
      <w:rPr>
        <w:rFonts w:ascii="Times New Roman" w:hAnsi="Times New Roman" w:cs="Times New Roman"/>
        <w:b/>
        <w:bCs/>
        <w:i/>
        <w:iCs/>
      </w:rPr>
      <w:t>2960-8228</w:t>
    </w:r>
  </w:p>
  <w:p w14:paraId="764928A4" w14:textId="2F12FB41" w:rsidR="007052B6" w:rsidRPr="007052B6" w:rsidRDefault="007052B6" w:rsidP="007052B6">
    <w:pPr>
      <w:pStyle w:val="Encabezado"/>
      <w:jc w:val="right"/>
      <w:rPr>
        <w:rFonts w:ascii="Times New Roman" w:hAnsi="Times New Roman" w:cs="Times New Roman"/>
        <w:b/>
        <w:bCs/>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E20C" w14:textId="77777777" w:rsidR="00710141" w:rsidRDefault="007101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3"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272A3028"/>
    <w:multiLevelType w:val="hybridMultilevel"/>
    <w:tmpl w:val="82603E2C"/>
    <w:lvl w:ilvl="0" w:tplc="DE40D8F4">
      <w:start w:val="1"/>
      <w:numFmt w:val="decimal"/>
      <w:lvlText w:val="(%1)"/>
      <w:lvlJc w:val="left"/>
      <w:pPr>
        <w:ind w:left="360" w:hanging="360"/>
      </w:pPr>
    </w:lvl>
    <w:lvl w:ilvl="1" w:tplc="5C0A0019">
      <w:start w:val="1"/>
      <w:numFmt w:val="lowerLetter"/>
      <w:lvlText w:val="%2."/>
      <w:lvlJc w:val="left"/>
      <w:pPr>
        <w:ind w:left="1080" w:hanging="360"/>
      </w:pPr>
    </w:lvl>
    <w:lvl w:ilvl="2" w:tplc="5C0A001B">
      <w:start w:val="1"/>
      <w:numFmt w:val="lowerRoman"/>
      <w:lvlText w:val="%3."/>
      <w:lvlJc w:val="right"/>
      <w:pPr>
        <w:ind w:left="1800" w:hanging="180"/>
      </w:pPr>
    </w:lvl>
    <w:lvl w:ilvl="3" w:tplc="5C0A000F">
      <w:start w:val="1"/>
      <w:numFmt w:val="decimal"/>
      <w:lvlText w:val="%4."/>
      <w:lvlJc w:val="left"/>
      <w:pPr>
        <w:ind w:left="2520" w:hanging="360"/>
      </w:pPr>
    </w:lvl>
    <w:lvl w:ilvl="4" w:tplc="5C0A0019">
      <w:start w:val="1"/>
      <w:numFmt w:val="lowerLetter"/>
      <w:lvlText w:val="%5."/>
      <w:lvlJc w:val="left"/>
      <w:pPr>
        <w:ind w:left="3240" w:hanging="360"/>
      </w:pPr>
    </w:lvl>
    <w:lvl w:ilvl="5" w:tplc="5C0A001B">
      <w:start w:val="1"/>
      <w:numFmt w:val="lowerRoman"/>
      <w:lvlText w:val="%6."/>
      <w:lvlJc w:val="right"/>
      <w:pPr>
        <w:ind w:left="3960" w:hanging="180"/>
      </w:pPr>
    </w:lvl>
    <w:lvl w:ilvl="6" w:tplc="5C0A000F">
      <w:start w:val="1"/>
      <w:numFmt w:val="decimal"/>
      <w:lvlText w:val="%7."/>
      <w:lvlJc w:val="left"/>
      <w:pPr>
        <w:ind w:left="4680" w:hanging="360"/>
      </w:pPr>
    </w:lvl>
    <w:lvl w:ilvl="7" w:tplc="5C0A0019">
      <w:start w:val="1"/>
      <w:numFmt w:val="lowerLetter"/>
      <w:lvlText w:val="%8."/>
      <w:lvlJc w:val="left"/>
      <w:pPr>
        <w:ind w:left="5400" w:hanging="360"/>
      </w:pPr>
    </w:lvl>
    <w:lvl w:ilvl="8" w:tplc="5C0A001B">
      <w:start w:val="1"/>
      <w:numFmt w:val="lowerRoman"/>
      <w:lvlText w:val="%9."/>
      <w:lvlJc w:val="right"/>
      <w:pPr>
        <w:ind w:left="6120" w:hanging="180"/>
      </w:pPr>
    </w:lvl>
  </w:abstractNum>
  <w:abstractNum w:abstractNumId="5"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5B8D7B12"/>
    <w:multiLevelType w:val="multilevel"/>
    <w:tmpl w:val="5B8D7B12"/>
    <w:lvl w:ilvl="0">
      <w:start w:val="1"/>
      <w:numFmt w:val="decimal"/>
      <w:lvlText w:val="(%1)"/>
      <w:lvlJc w:val="left"/>
      <w:pPr>
        <w:ind w:left="1050" w:hanging="6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1"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2"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3"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1"/>
  </w:num>
  <w:num w:numId="5">
    <w:abstractNumId w:val="13"/>
  </w:num>
  <w:num w:numId="6">
    <w:abstractNumId w:val="6"/>
  </w:num>
  <w:num w:numId="7">
    <w:abstractNumId w:val="2"/>
  </w:num>
  <w:num w:numId="8">
    <w:abstractNumId w:val="10"/>
  </w:num>
  <w:num w:numId="9">
    <w:abstractNumId w:val="5"/>
  </w:num>
  <w:num w:numId="10">
    <w:abstractNumId w:val="8"/>
  </w:num>
  <w:num w:numId="11">
    <w:abstractNumId w:val="1"/>
  </w:num>
  <w:num w:numId="12">
    <w:abstractNumId w:val="7"/>
  </w:num>
  <w:num w:numId="13">
    <w:abstractNumId w:val="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CF"/>
    <w:rsid w:val="00021A01"/>
    <w:rsid w:val="00030A13"/>
    <w:rsid w:val="000470B0"/>
    <w:rsid w:val="000606FF"/>
    <w:rsid w:val="00075D44"/>
    <w:rsid w:val="000769C6"/>
    <w:rsid w:val="000A379D"/>
    <w:rsid w:val="000D6966"/>
    <w:rsid w:val="000E43E2"/>
    <w:rsid w:val="000F2B7B"/>
    <w:rsid w:val="001D305E"/>
    <w:rsid w:val="001E1327"/>
    <w:rsid w:val="001E2C70"/>
    <w:rsid w:val="00224EDB"/>
    <w:rsid w:val="00226E6E"/>
    <w:rsid w:val="00253CA5"/>
    <w:rsid w:val="00261C45"/>
    <w:rsid w:val="00276251"/>
    <w:rsid w:val="002E77F9"/>
    <w:rsid w:val="002F4B01"/>
    <w:rsid w:val="00327073"/>
    <w:rsid w:val="003616E9"/>
    <w:rsid w:val="00380EF9"/>
    <w:rsid w:val="0038622C"/>
    <w:rsid w:val="003D3DD1"/>
    <w:rsid w:val="003E587F"/>
    <w:rsid w:val="00435BC6"/>
    <w:rsid w:val="0044300C"/>
    <w:rsid w:val="00456F3E"/>
    <w:rsid w:val="0046792E"/>
    <w:rsid w:val="004B44DA"/>
    <w:rsid w:val="004C7BD8"/>
    <w:rsid w:val="004D6D45"/>
    <w:rsid w:val="00565B5A"/>
    <w:rsid w:val="0057742B"/>
    <w:rsid w:val="00581BFD"/>
    <w:rsid w:val="005A6F8B"/>
    <w:rsid w:val="005E5571"/>
    <w:rsid w:val="00605A85"/>
    <w:rsid w:val="006203D2"/>
    <w:rsid w:val="006527FD"/>
    <w:rsid w:val="00653BBA"/>
    <w:rsid w:val="00661E07"/>
    <w:rsid w:val="006A057D"/>
    <w:rsid w:val="006D5288"/>
    <w:rsid w:val="006F142B"/>
    <w:rsid w:val="007052B6"/>
    <w:rsid w:val="0070630E"/>
    <w:rsid w:val="00710141"/>
    <w:rsid w:val="00737934"/>
    <w:rsid w:val="0074224F"/>
    <w:rsid w:val="007536FA"/>
    <w:rsid w:val="00757E98"/>
    <w:rsid w:val="0076249F"/>
    <w:rsid w:val="0076393E"/>
    <w:rsid w:val="007A497E"/>
    <w:rsid w:val="007A7C3D"/>
    <w:rsid w:val="007C58AD"/>
    <w:rsid w:val="007D2573"/>
    <w:rsid w:val="007D3360"/>
    <w:rsid w:val="008030DE"/>
    <w:rsid w:val="00820656"/>
    <w:rsid w:val="00822079"/>
    <w:rsid w:val="0085325B"/>
    <w:rsid w:val="008A3B09"/>
    <w:rsid w:val="008D7FEB"/>
    <w:rsid w:val="00900805"/>
    <w:rsid w:val="00914588"/>
    <w:rsid w:val="00914D03"/>
    <w:rsid w:val="00924E3C"/>
    <w:rsid w:val="00944AD8"/>
    <w:rsid w:val="00955DC8"/>
    <w:rsid w:val="00963A51"/>
    <w:rsid w:val="00985FCF"/>
    <w:rsid w:val="009D77C8"/>
    <w:rsid w:val="009E0383"/>
    <w:rsid w:val="009E1EA8"/>
    <w:rsid w:val="009F5785"/>
    <w:rsid w:val="00A04E94"/>
    <w:rsid w:val="00A3405E"/>
    <w:rsid w:val="00A73082"/>
    <w:rsid w:val="00AB18B8"/>
    <w:rsid w:val="00AB5352"/>
    <w:rsid w:val="00AB652F"/>
    <w:rsid w:val="00AF7482"/>
    <w:rsid w:val="00B3458D"/>
    <w:rsid w:val="00BB5DA3"/>
    <w:rsid w:val="00BC4CAC"/>
    <w:rsid w:val="00BD48CB"/>
    <w:rsid w:val="00C4010A"/>
    <w:rsid w:val="00C75D26"/>
    <w:rsid w:val="00CC0E8D"/>
    <w:rsid w:val="00CD4065"/>
    <w:rsid w:val="00CD6BE5"/>
    <w:rsid w:val="00D031EF"/>
    <w:rsid w:val="00D41CCE"/>
    <w:rsid w:val="00D42744"/>
    <w:rsid w:val="00D55E14"/>
    <w:rsid w:val="00DC769D"/>
    <w:rsid w:val="00DD51FC"/>
    <w:rsid w:val="00E22B7B"/>
    <w:rsid w:val="00E517C8"/>
    <w:rsid w:val="00E52541"/>
    <w:rsid w:val="00E80C27"/>
    <w:rsid w:val="00E95476"/>
    <w:rsid w:val="00E969C5"/>
    <w:rsid w:val="00EA0A47"/>
    <w:rsid w:val="00ED1F5F"/>
    <w:rsid w:val="00EF32C8"/>
    <w:rsid w:val="00F14C91"/>
    <w:rsid w:val="00F518F0"/>
    <w:rsid w:val="00F84451"/>
    <w:rsid w:val="00FB7BEC"/>
    <w:rsid w:val="00FD506F"/>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640E"/>
  <w15:chartTrackingRefBased/>
  <w15:docId w15:val="{752B3E9B-2B74-4246-A217-8F255FDD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6527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3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semiHidden/>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character" w:customStyle="1" w:styleId="Ttulo2Car">
    <w:name w:val="Título 2 Car"/>
    <w:basedOn w:val="Fuentedeprrafopredeter"/>
    <w:link w:val="Ttulo2"/>
    <w:uiPriority w:val="9"/>
    <w:semiHidden/>
    <w:rsid w:val="006527FD"/>
    <w:rPr>
      <w:rFonts w:asciiTheme="majorHAnsi" w:eastAsiaTheme="majorEastAsia" w:hAnsiTheme="majorHAnsi" w:cstheme="majorBidi"/>
      <w:color w:val="2F5496" w:themeColor="accent1" w:themeShade="BF"/>
      <w:sz w:val="26"/>
      <w:szCs w:val="26"/>
    </w:rPr>
  </w:style>
  <w:style w:type="paragraph" w:styleId="Revisin">
    <w:name w:val="Revision"/>
    <w:hidden/>
    <w:uiPriority w:val="99"/>
    <w:semiHidden/>
    <w:rsid w:val="00E95476"/>
    <w:pPr>
      <w:spacing w:after="0" w:line="240" w:lineRule="auto"/>
    </w:pPr>
  </w:style>
  <w:style w:type="character" w:styleId="Refdecomentario">
    <w:name w:val="annotation reference"/>
    <w:basedOn w:val="Fuentedeprrafopredeter"/>
    <w:uiPriority w:val="99"/>
    <w:semiHidden/>
    <w:unhideWhenUsed/>
    <w:rsid w:val="008030DE"/>
    <w:rPr>
      <w:sz w:val="16"/>
      <w:szCs w:val="16"/>
    </w:rPr>
  </w:style>
  <w:style w:type="paragraph" w:styleId="Textocomentario">
    <w:name w:val="annotation text"/>
    <w:basedOn w:val="Normal"/>
    <w:link w:val="TextocomentarioCar"/>
    <w:uiPriority w:val="99"/>
    <w:semiHidden/>
    <w:unhideWhenUsed/>
    <w:rsid w:val="008030D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30DE"/>
    <w:rPr>
      <w:sz w:val="20"/>
      <w:szCs w:val="20"/>
    </w:rPr>
  </w:style>
  <w:style w:type="paragraph" w:styleId="Asuntodelcomentario">
    <w:name w:val="annotation subject"/>
    <w:basedOn w:val="Textocomentario"/>
    <w:next w:val="Textocomentario"/>
    <w:link w:val="AsuntodelcomentarioCar"/>
    <w:uiPriority w:val="99"/>
    <w:semiHidden/>
    <w:unhideWhenUsed/>
    <w:rsid w:val="008030DE"/>
    <w:rPr>
      <w:b/>
      <w:bCs/>
    </w:rPr>
  </w:style>
  <w:style w:type="character" w:customStyle="1" w:styleId="AsuntodelcomentarioCar">
    <w:name w:val="Asunto del comentario Car"/>
    <w:basedOn w:val="TextocomentarioCar"/>
    <w:link w:val="Asuntodelcomentario"/>
    <w:uiPriority w:val="99"/>
    <w:semiHidden/>
    <w:rsid w:val="008030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paumierz@udg.co.cu" TargetMode="External"/><Relationship Id="rId18" Type="http://schemas.openxmlformats.org/officeDocument/2006/relationships/hyperlink" Target="https://orcid.org/0000-0002-1185-7822" TargetMode="External"/><Relationship Id="rId26" Type="http://schemas.openxmlformats.org/officeDocument/2006/relationships/image" Target="media/image5.png"/><Relationship Id="rId39" Type="http://schemas.openxmlformats.org/officeDocument/2006/relationships/hyperlink" Target="https://repositorio.utc.edu.ec/handle/123456789/12741" TargetMode="External"/><Relationship Id="rId21" Type="http://schemas.openxmlformats.org/officeDocument/2006/relationships/hyperlink" Target="mailto:oandis.sosa@gmail.com" TargetMode="External"/><Relationship Id="rId34" Type="http://schemas.openxmlformats.org/officeDocument/2006/relationships/hyperlink" Target="https://doi.org/10.13135/2384-8677/11297" TargetMode="External"/><Relationship Id="rId42" Type="http://schemas.openxmlformats.org/officeDocument/2006/relationships/hyperlink" Target="https://doi.org/10.1038/s41467-025-57984-3" TargetMode="External"/><Relationship Id="rId47" Type="http://schemas.openxmlformats.org/officeDocument/2006/relationships/hyperlink" Target="https://doi.org/10.31381/biotempo.v22i2.7651"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8231-3822" TargetMode="External"/><Relationship Id="rId29" Type="http://schemas.openxmlformats.org/officeDocument/2006/relationships/image" Target="media/image8.png"/><Relationship Id="rId11" Type="http://schemas.openxmlformats.org/officeDocument/2006/relationships/hyperlink" Target="mailto:sfrodriguez1964@gmail.com" TargetMode="External"/><Relationship Id="rId24" Type="http://schemas.openxmlformats.org/officeDocument/2006/relationships/image" Target="media/image3.png"/><Relationship Id="rId32" Type="http://schemas.openxmlformats.org/officeDocument/2006/relationships/hyperlink" Target="https://orientacademies.com/index.php/OJEPAIAS/article/view/2025-02-07" TargetMode="External"/><Relationship Id="rId37" Type="http://schemas.openxmlformats.org/officeDocument/2006/relationships/hyperlink" Target="https://doi.org/10.1109/ACCTCS66275.2025.00020" TargetMode="External"/><Relationship Id="rId40" Type="http://schemas.openxmlformats.org/officeDocument/2006/relationships/hyperlink" Target="https://doi.org/10.1007/s41748-025-00713-z" TargetMode="External"/><Relationship Id="rId45" Type="http://schemas.openxmlformats.org/officeDocument/2006/relationships/hyperlink" Target="https://doi.org/10.70881/hnj/v3/n3/86"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orcid.org/0000-0002-7837-2168" TargetMode="External"/><Relationship Id="rId19" Type="http://schemas.openxmlformats.org/officeDocument/2006/relationships/hyperlink" Target="mailto:rgaibor@uteq.ec" TargetMode="External"/><Relationship Id="rId31" Type="http://schemas.openxmlformats.org/officeDocument/2006/relationships/hyperlink" Target="https://doi.org/10.58496/BJIoT/2025/001" TargetMode="External"/><Relationship Id="rId44" Type="http://schemas.openxmlformats.org/officeDocument/2006/relationships/hyperlink" Target="https://doi.org/10.1111/geb.70011"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icet@dimitrov.cu" TargetMode="External"/><Relationship Id="rId14" Type="http://schemas.openxmlformats.org/officeDocument/2006/relationships/hyperlink" Target="https://orcid.org/0000-0003-3417-1679"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hyperlink" Target="https://doi.org/10.1002/esp.6020" TargetMode="External"/><Relationship Id="rId35" Type="http://schemas.openxmlformats.org/officeDocument/2006/relationships/hyperlink" Target="https://doi.org/10.1109/JAS.2025.125498" TargetMode="External"/><Relationship Id="rId43" Type="http://schemas.openxmlformats.org/officeDocument/2006/relationships/hyperlink" Target="https://doi.org/10.1051/bioconf/202517506010" TargetMode="External"/><Relationship Id="rId48" Type="http://schemas.openxmlformats.org/officeDocument/2006/relationships/hyperlink" Target="https://doi.org/10.1016/j.agrformet.2024.110301" TargetMode="External"/><Relationship Id="rId56" Type="http://schemas.openxmlformats.org/officeDocument/2006/relationships/theme" Target="theme/theme1.xml"/><Relationship Id="rId8" Type="http://schemas.openxmlformats.org/officeDocument/2006/relationships/hyperlink" Target="mailto:mariadelosangelespino9512@gmail.com"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orcid.org/0000-0003-2923-5092" TargetMode="External"/><Relationship Id="rId17" Type="http://schemas.openxmlformats.org/officeDocument/2006/relationships/hyperlink" Target="mailto:cheche@udg.co.cu" TargetMode="External"/><Relationship Id="rId25" Type="http://schemas.openxmlformats.org/officeDocument/2006/relationships/image" Target="media/image4.png"/><Relationship Id="rId33" Type="http://schemas.openxmlformats.org/officeDocument/2006/relationships/hyperlink" Target="https://doi.org/10.22034/ECOPERSIA.13.2.165" TargetMode="External"/><Relationship Id="rId38" Type="http://schemas.openxmlformats.org/officeDocument/2006/relationships/hyperlink" Target="https://doi.org/10.33005/jasf.v8i1.581" TargetMode="External"/><Relationship Id="rId46" Type="http://schemas.openxmlformats.org/officeDocument/2006/relationships/hyperlink" Target="https://doi.org/10.1080/10168664.2023.2265965" TargetMode="External"/><Relationship Id="rId20" Type="http://schemas.openxmlformats.org/officeDocument/2006/relationships/hyperlink" Target="https://orcid.org/0000-0002-0981-2000" TargetMode="External"/><Relationship Id="rId41" Type="http://schemas.openxmlformats.org/officeDocument/2006/relationships/hyperlink" Target="https://doi.org/10.1016/j.jnc.2025.127002"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oandis.sosa@gmail.com"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hyperlink" Target="https://doi.org/10.1016/j.jenvman.2025.125180"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rt&#237;culos%20publicar%202026\Revista%20Chone\Art&#237;culo%20Ma%20&#193;ngeles%20Pino\Plantilla-CCT%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32485018-8A6D-40FD-90A6-055F50E5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 (1).dotx</Template>
  <TotalTime>1461</TotalTime>
  <Pages>24</Pages>
  <Words>7759</Words>
  <Characters>42677</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Cheché</cp:lastModifiedBy>
  <cp:revision>65</cp:revision>
  <cp:lastPrinted>2026-06-23T16:28:00Z</cp:lastPrinted>
  <dcterms:created xsi:type="dcterms:W3CDTF">2026-02-09T13:35:00Z</dcterms:created>
  <dcterms:modified xsi:type="dcterms:W3CDTF">2026-06-25T15:08:00Z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id="mE6KxI7y"/&gt;&lt;style id="http://www.zotero.org/styles/apa" locale="es-ES" hasBibliography="1" bibliographyStyleHasBeenSet="0"/&gt;&lt;prefs&gt;&lt;pref name="fieldType" value="Field"/&gt;&lt;/prefs&gt;&lt;/data&gt;</vt:lpwstr>
  </property>
</Properties>
</file>